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76" w:rsidRDefault="00F42976" w:rsidP="00F42976">
      <w:pPr>
        <w:jc w:val="center"/>
        <w:rPr>
          <w:b/>
          <w:sz w:val="28"/>
          <w:szCs w:val="28"/>
        </w:rPr>
      </w:pPr>
      <w:r>
        <w:rPr>
          <w:i/>
          <w:noProof/>
          <w:sz w:val="24"/>
          <w:szCs w:val="24"/>
          <w:lang w:eastAsia="lt-LT"/>
        </w:rPr>
        <w:drawing>
          <wp:inline distT="0" distB="0" distL="0" distR="0" wp14:anchorId="1B387F1D" wp14:editId="61714137">
            <wp:extent cx="1446471" cy="971550"/>
            <wp:effectExtent l="0" t="0" r="1905" b="0"/>
            <wp:docPr id="2" name="Paveikslėlis 2" descr="R:\!Public\1-Bendras\5-Rysiai_su_visuomene\4-Bendrieji dalykai\2-Zenklas\SKVC_naujas_zenklas\SKVC zen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ublic\1-Bendras\5-Rysiai_su_visuomene\4-Bendrieji dalykai\2-Zenklas\SKVC_naujas_zenklas\SKVC zenkl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212" cy="976078"/>
                    </a:xfrm>
                    <a:prstGeom prst="rect">
                      <a:avLst/>
                    </a:prstGeom>
                    <a:noFill/>
                    <a:ln>
                      <a:noFill/>
                    </a:ln>
                  </pic:spPr>
                </pic:pic>
              </a:graphicData>
            </a:graphic>
          </wp:inline>
        </w:drawing>
      </w:r>
    </w:p>
    <w:p w:rsidR="00F42976" w:rsidRDefault="001832FC" w:rsidP="00F42976">
      <w:pPr>
        <w:spacing w:after="0" w:line="240" w:lineRule="auto"/>
        <w:jc w:val="center"/>
        <w:rPr>
          <w:rFonts w:ascii="Candara" w:hAnsi="Candara"/>
          <w:b/>
          <w:sz w:val="28"/>
          <w:szCs w:val="26"/>
        </w:rPr>
      </w:pPr>
      <w:r w:rsidRPr="00F42976">
        <w:rPr>
          <w:rFonts w:ascii="Candara" w:hAnsi="Candara"/>
          <w:b/>
          <w:sz w:val="28"/>
          <w:szCs w:val="26"/>
        </w:rPr>
        <w:t>PASKESNĖS VEIKLOS METODINĖS REKOMENDACIJOS</w:t>
      </w:r>
      <w:r w:rsidR="00F42976" w:rsidRPr="00F42976">
        <w:rPr>
          <w:rFonts w:ascii="Candara" w:hAnsi="Candara"/>
          <w:b/>
          <w:sz w:val="28"/>
          <w:szCs w:val="26"/>
        </w:rPr>
        <w:t xml:space="preserve"> </w:t>
      </w:r>
    </w:p>
    <w:p w:rsidR="001832FC" w:rsidRPr="00F42976" w:rsidRDefault="001832FC" w:rsidP="00F42976">
      <w:pPr>
        <w:spacing w:after="0" w:line="240" w:lineRule="auto"/>
        <w:jc w:val="center"/>
        <w:rPr>
          <w:rFonts w:ascii="Candara" w:hAnsi="Candara"/>
          <w:b/>
          <w:sz w:val="28"/>
          <w:szCs w:val="26"/>
        </w:rPr>
      </w:pPr>
      <w:r w:rsidRPr="00F42976">
        <w:rPr>
          <w:rFonts w:ascii="Candara" w:hAnsi="Candara"/>
          <w:b/>
          <w:sz w:val="28"/>
          <w:szCs w:val="26"/>
        </w:rPr>
        <w:t xml:space="preserve">AUKŠTOSIOMS MOKYKLOMS </w:t>
      </w:r>
    </w:p>
    <w:p w:rsidR="00F42976" w:rsidRDefault="00F42976" w:rsidP="00F42976">
      <w:pPr>
        <w:ind w:firstLine="709"/>
        <w:jc w:val="both"/>
        <w:rPr>
          <w:rFonts w:ascii="Candara" w:hAnsi="Candara"/>
          <w:sz w:val="24"/>
          <w:szCs w:val="24"/>
        </w:rPr>
      </w:pPr>
    </w:p>
    <w:p w:rsidR="001832FC" w:rsidRDefault="001832FC" w:rsidP="00F42976">
      <w:pPr>
        <w:ind w:firstLine="709"/>
        <w:jc w:val="both"/>
        <w:rPr>
          <w:rFonts w:ascii="Candara" w:hAnsi="Candara"/>
          <w:sz w:val="24"/>
          <w:szCs w:val="24"/>
        </w:rPr>
      </w:pPr>
      <w:r w:rsidRPr="00F42976">
        <w:rPr>
          <w:rFonts w:ascii="Candara" w:hAnsi="Candara"/>
          <w:sz w:val="24"/>
          <w:szCs w:val="24"/>
        </w:rPr>
        <w:t xml:space="preserve">Studijų programų išorinio vertinimo paskesnė veikla yra integrali  </w:t>
      </w:r>
      <w:r w:rsidR="00C31281">
        <w:rPr>
          <w:rFonts w:ascii="Candara" w:hAnsi="Candara"/>
          <w:sz w:val="24"/>
          <w:szCs w:val="24"/>
        </w:rPr>
        <w:t xml:space="preserve">tiek </w:t>
      </w:r>
      <w:r w:rsidR="00DE049E">
        <w:rPr>
          <w:rFonts w:ascii="Candara" w:hAnsi="Candara"/>
          <w:sz w:val="24"/>
          <w:szCs w:val="24"/>
        </w:rPr>
        <w:t>ketinamų vykdyti</w:t>
      </w:r>
      <w:r w:rsidR="00C31281">
        <w:rPr>
          <w:rFonts w:ascii="Candara" w:hAnsi="Candara"/>
          <w:sz w:val="24"/>
          <w:szCs w:val="24"/>
        </w:rPr>
        <w:t xml:space="preserve">, tiek ir jau vykdomų </w:t>
      </w:r>
      <w:r w:rsidRPr="00F42976">
        <w:rPr>
          <w:rFonts w:ascii="Candara" w:hAnsi="Candara"/>
          <w:sz w:val="24"/>
          <w:szCs w:val="24"/>
        </w:rPr>
        <w:t xml:space="preserve">studijų programų </w:t>
      </w:r>
      <w:r w:rsidR="001C661A">
        <w:rPr>
          <w:rFonts w:ascii="Candara" w:hAnsi="Candara"/>
          <w:sz w:val="24"/>
          <w:szCs w:val="24"/>
        </w:rPr>
        <w:t>kokybės užtikrinimo</w:t>
      </w:r>
      <w:r w:rsidRPr="00F42976">
        <w:rPr>
          <w:rFonts w:ascii="Candara" w:hAnsi="Candara"/>
          <w:sz w:val="24"/>
          <w:szCs w:val="24"/>
        </w:rPr>
        <w:t xml:space="preserve"> dalis,</w:t>
      </w:r>
      <w:r w:rsidR="00C31281">
        <w:rPr>
          <w:rFonts w:ascii="Candara" w:hAnsi="Candara"/>
          <w:sz w:val="24"/>
          <w:szCs w:val="24"/>
        </w:rPr>
        <w:t xml:space="preserve"> </w:t>
      </w:r>
      <w:r w:rsidR="001C661A">
        <w:rPr>
          <w:rFonts w:ascii="Candara" w:hAnsi="Candara"/>
          <w:sz w:val="24"/>
          <w:szCs w:val="24"/>
        </w:rPr>
        <w:t>todėl aukštosios mokyklos turi užtikrinti, kad į paskutinio išorinio vertinimo</w:t>
      </w:r>
      <w:r w:rsidR="00DD3D64">
        <w:rPr>
          <w:rFonts w:ascii="Candara" w:hAnsi="Candara"/>
          <w:sz w:val="24"/>
          <w:szCs w:val="24"/>
        </w:rPr>
        <w:t xml:space="preserve"> ekspertų rekomendacijas yra atsižvelgiama</w:t>
      </w:r>
      <w:r w:rsidR="001C661A">
        <w:rPr>
          <w:rFonts w:ascii="Candara" w:hAnsi="Candara"/>
          <w:sz w:val="24"/>
          <w:szCs w:val="24"/>
        </w:rPr>
        <w:t xml:space="preserve"> </w:t>
      </w:r>
      <w:r w:rsidR="00DD3D64">
        <w:rPr>
          <w:rFonts w:ascii="Candara" w:hAnsi="Candara"/>
          <w:sz w:val="24"/>
          <w:szCs w:val="24"/>
        </w:rPr>
        <w:t>tobulinant studijų programą ir ruošiantis</w:t>
      </w:r>
      <w:r w:rsidR="001C661A">
        <w:rPr>
          <w:rFonts w:ascii="Candara" w:hAnsi="Candara"/>
          <w:sz w:val="24"/>
          <w:szCs w:val="24"/>
        </w:rPr>
        <w:t xml:space="preserve"> kitam išoriniam vertinimui</w:t>
      </w:r>
      <w:r w:rsidR="00DD3D64">
        <w:rPr>
          <w:rFonts w:ascii="Candara" w:hAnsi="Candara"/>
          <w:sz w:val="24"/>
          <w:szCs w:val="24"/>
        </w:rPr>
        <w:t>. Su</w:t>
      </w:r>
      <w:r w:rsidR="001C661A">
        <w:rPr>
          <w:rFonts w:ascii="Candara" w:hAnsi="Candara"/>
          <w:sz w:val="24"/>
          <w:szCs w:val="24"/>
        </w:rPr>
        <w:t xml:space="preserve"> bet kokiais planuojamais ar jau įvykusiais veiksmais po vertinimo </w:t>
      </w:r>
      <w:r w:rsidR="00DD3D64">
        <w:rPr>
          <w:rFonts w:ascii="Candara" w:hAnsi="Candara"/>
          <w:sz w:val="24"/>
          <w:szCs w:val="24"/>
        </w:rPr>
        <w:t xml:space="preserve">turėtų būti </w:t>
      </w:r>
      <w:r w:rsidR="001C661A">
        <w:rPr>
          <w:rFonts w:ascii="Candara" w:hAnsi="Candara"/>
          <w:sz w:val="24"/>
          <w:szCs w:val="24"/>
        </w:rPr>
        <w:t xml:space="preserve">supažindinami visi suinteresuotieji. Paskesnės veikla </w:t>
      </w:r>
      <w:r w:rsidRPr="00F42976">
        <w:rPr>
          <w:rFonts w:ascii="Candara" w:hAnsi="Candara"/>
          <w:sz w:val="24"/>
          <w:szCs w:val="24"/>
        </w:rPr>
        <w:t>aukštojoje mokykloje apima keturis pagrindinius etapus:</w:t>
      </w:r>
    </w:p>
    <w:p w:rsidR="001832FC" w:rsidRPr="00F42976" w:rsidRDefault="001832FC" w:rsidP="00F42976">
      <w:pPr>
        <w:numPr>
          <w:ilvl w:val="0"/>
          <w:numId w:val="1"/>
        </w:numPr>
        <w:ind w:left="0" w:firstLine="709"/>
        <w:jc w:val="both"/>
        <w:rPr>
          <w:rFonts w:ascii="Candara" w:hAnsi="Candara"/>
          <w:b/>
          <w:sz w:val="24"/>
          <w:szCs w:val="24"/>
        </w:rPr>
      </w:pPr>
      <w:r w:rsidRPr="00F42976">
        <w:rPr>
          <w:rFonts w:ascii="Candara" w:hAnsi="Candara"/>
          <w:b/>
          <w:sz w:val="24"/>
          <w:szCs w:val="24"/>
        </w:rPr>
        <w:t>Išorinio vertinimo ekspertų  tobulinimo rekomendacijų įtraukimas į aukštosios mokyklos padalinių (fakultetų</w:t>
      </w:r>
      <w:r w:rsidR="00410643">
        <w:rPr>
          <w:rFonts w:ascii="Candara" w:hAnsi="Candara"/>
          <w:b/>
          <w:sz w:val="24"/>
          <w:szCs w:val="24"/>
        </w:rPr>
        <w:t xml:space="preserve"> </w:t>
      </w:r>
      <w:r w:rsidRPr="00F42976">
        <w:rPr>
          <w:rFonts w:ascii="Candara" w:hAnsi="Candara"/>
          <w:b/>
          <w:sz w:val="24"/>
          <w:szCs w:val="24"/>
        </w:rPr>
        <w:t>/</w:t>
      </w:r>
      <w:r w:rsidR="00410643">
        <w:rPr>
          <w:rFonts w:ascii="Candara" w:hAnsi="Candara"/>
          <w:b/>
          <w:sz w:val="24"/>
          <w:szCs w:val="24"/>
        </w:rPr>
        <w:t xml:space="preserve"> </w:t>
      </w:r>
      <w:r w:rsidRPr="00F42976">
        <w:rPr>
          <w:rFonts w:ascii="Candara" w:hAnsi="Candara"/>
          <w:b/>
          <w:sz w:val="24"/>
          <w:szCs w:val="24"/>
        </w:rPr>
        <w:t xml:space="preserve">katedrų) veiklos ar aukštosios mokyklos kokybės gerinimo planus. </w:t>
      </w:r>
      <w:r w:rsidRPr="00F42976">
        <w:rPr>
          <w:rFonts w:ascii="Candara" w:hAnsi="Candara"/>
          <w:i/>
          <w:sz w:val="24"/>
          <w:szCs w:val="24"/>
        </w:rPr>
        <w:t>Siekiant užtikrinti, kad išorinio vertinimo ekspertų nurodytos rekomendacijos studijų programos turiniui</w:t>
      </w:r>
      <w:r w:rsidR="001D6ECA">
        <w:rPr>
          <w:rFonts w:ascii="Candara" w:hAnsi="Candara"/>
          <w:i/>
          <w:sz w:val="24"/>
          <w:szCs w:val="24"/>
        </w:rPr>
        <w:t xml:space="preserve"> ir jos įgyvendinimui tobulinti</w:t>
      </w:r>
      <w:r w:rsidRPr="00F42976">
        <w:rPr>
          <w:rFonts w:ascii="Candara" w:hAnsi="Candara"/>
          <w:i/>
          <w:sz w:val="24"/>
          <w:szCs w:val="24"/>
        </w:rPr>
        <w:t xml:space="preserve"> būtų įgyvendintos, tikslinga jas įtraukti į aukštosios mokyklos padalinių (fakultetų</w:t>
      </w:r>
      <w:r w:rsidR="00410643">
        <w:rPr>
          <w:rFonts w:ascii="Candara" w:hAnsi="Candara"/>
          <w:i/>
          <w:sz w:val="24"/>
          <w:szCs w:val="24"/>
        </w:rPr>
        <w:t xml:space="preserve"> </w:t>
      </w:r>
      <w:r w:rsidRPr="00F42976">
        <w:rPr>
          <w:rFonts w:ascii="Candara" w:hAnsi="Candara"/>
          <w:i/>
          <w:sz w:val="24"/>
          <w:szCs w:val="24"/>
        </w:rPr>
        <w:t>/</w:t>
      </w:r>
      <w:r w:rsidR="00410643">
        <w:rPr>
          <w:rFonts w:ascii="Candara" w:hAnsi="Candara"/>
          <w:i/>
          <w:sz w:val="24"/>
          <w:szCs w:val="24"/>
        </w:rPr>
        <w:t xml:space="preserve"> </w:t>
      </w:r>
      <w:r w:rsidRPr="00F42976">
        <w:rPr>
          <w:rFonts w:ascii="Candara" w:hAnsi="Candara"/>
          <w:i/>
          <w:sz w:val="24"/>
          <w:szCs w:val="24"/>
        </w:rPr>
        <w:t xml:space="preserve">katedrų) oficialius veiklos ar aukštosios mokyklos kokybės gerinimo planus. Užtikrinant rekomendacijų  įgyvendinimą, tikslinga numatyti konkrečias užduotis, joms įgyvendinti paskirti konkrečius asmenis, numatyti įgyvendinimo terminus ir konkrečius užduoties įgyvendinimo rezultatus. </w:t>
      </w:r>
      <w:r w:rsidR="00AD5A3F">
        <w:rPr>
          <w:rFonts w:ascii="Candara" w:hAnsi="Candara"/>
          <w:i/>
          <w:sz w:val="24"/>
          <w:szCs w:val="24"/>
        </w:rPr>
        <w:t xml:space="preserve">Svarbu, kad </w:t>
      </w:r>
      <w:r w:rsidR="00DE049E">
        <w:rPr>
          <w:rFonts w:ascii="Candara" w:hAnsi="Candara"/>
          <w:i/>
          <w:sz w:val="24"/>
          <w:szCs w:val="24"/>
        </w:rPr>
        <w:t>tiek</w:t>
      </w:r>
      <w:r w:rsidR="00AD5A3F">
        <w:rPr>
          <w:rFonts w:ascii="Candara" w:hAnsi="Candara"/>
          <w:i/>
          <w:sz w:val="24"/>
          <w:szCs w:val="24"/>
        </w:rPr>
        <w:t xml:space="preserve"> dėstytojai</w:t>
      </w:r>
      <w:r w:rsidR="00DE049E">
        <w:rPr>
          <w:rFonts w:ascii="Candara" w:hAnsi="Candara"/>
          <w:i/>
          <w:sz w:val="24"/>
          <w:szCs w:val="24"/>
        </w:rPr>
        <w:t>, tiek ir studentai</w:t>
      </w:r>
      <w:r w:rsidR="00AD5A3F">
        <w:rPr>
          <w:rFonts w:ascii="Candara" w:hAnsi="Candara"/>
          <w:i/>
          <w:sz w:val="24"/>
          <w:szCs w:val="24"/>
        </w:rPr>
        <w:t xml:space="preserve"> būtų įtraukiami teikiant ir analizuojant informaciją bei planuojant paskesnę veiklą.  </w:t>
      </w:r>
      <w:r w:rsidRPr="00F42976">
        <w:rPr>
          <w:rFonts w:ascii="Candara" w:hAnsi="Candara"/>
          <w:i/>
          <w:sz w:val="24"/>
          <w:szCs w:val="24"/>
        </w:rPr>
        <w:t xml:space="preserve">Šį veiksmų planą studijų programos kokybei gerinti tikslinga parengti per </w:t>
      </w:r>
      <w:r w:rsidRPr="00AD5A3F">
        <w:rPr>
          <w:rFonts w:ascii="Candara" w:hAnsi="Candara"/>
          <w:b/>
          <w:i/>
          <w:sz w:val="24"/>
          <w:szCs w:val="24"/>
        </w:rPr>
        <w:t>3 mėn.</w:t>
      </w:r>
      <w:r w:rsidRPr="00F42976">
        <w:rPr>
          <w:rFonts w:ascii="Candara" w:hAnsi="Candara"/>
          <w:i/>
          <w:sz w:val="24"/>
          <w:szCs w:val="24"/>
        </w:rPr>
        <w:t xml:space="preserve"> nuo studijų programos išorinio vertinimo pabaigos. </w:t>
      </w:r>
    </w:p>
    <w:p w:rsidR="001832FC" w:rsidRPr="00F42976" w:rsidRDefault="001832FC" w:rsidP="00F42976">
      <w:pPr>
        <w:numPr>
          <w:ilvl w:val="0"/>
          <w:numId w:val="1"/>
        </w:numPr>
        <w:ind w:left="0" w:firstLine="709"/>
        <w:jc w:val="both"/>
        <w:rPr>
          <w:rFonts w:ascii="Candara" w:hAnsi="Candara"/>
          <w:b/>
          <w:sz w:val="24"/>
          <w:szCs w:val="24"/>
        </w:rPr>
      </w:pPr>
      <w:r w:rsidRPr="00F42976">
        <w:rPr>
          <w:rFonts w:ascii="Candara" w:hAnsi="Candara"/>
          <w:b/>
          <w:sz w:val="24"/>
          <w:szCs w:val="24"/>
        </w:rPr>
        <w:t xml:space="preserve">Padalinio vadovo ar kito atsakingo asmens priežiūra dėl rekomendacijų įgyvendinimo. </w:t>
      </w:r>
      <w:r w:rsidRPr="00F42976">
        <w:rPr>
          <w:rFonts w:ascii="Candara" w:hAnsi="Candara"/>
          <w:i/>
          <w:sz w:val="24"/>
          <w:szCs w:val="24"/>
        </w:rPr>
        <w:t>Padalinio (fakulteto</w:t>
      </w:r>
      <w:r w:rsidR="00AD5A3F">
        <w:rPr>
          <w:rFonts w:ascii="Candara" w:hAnsi="Candara"/>
          <w:i/>
          <w:sz w:val="24"/>
          <w:szCs w:val="24"/>
        </w:rPr>
        <w:t xml:space="preserve"> </w:t>
      </w:r>
      <w:r w:rsidRPr="00F42976">
        <w:rPr>
          <w:rFonts w:ascii="Candara" w:hAnsi="Candara"/>
          <w:i/>
          <w:sz w:val="24"/>
          <w:szCs w:val="24"/>
        </w:rPr>
        <w:t>/</w:t>
      </w:r>
      <w:r w:rsidR="00AD5A3F">
        <w:rPr>
          <w:rFonts w:ascii="Candara" w:hAnsi="Candara"/>
          <w:i/>
          <w:sz w:val="24"/>
          <w:szCs w:val="24"/>
        </w:rPr>
        <w:t xml:space="preserve"> </w:t>
      </w:r>
      <w:r w:rsidRPr="00F42976">
        <w:rPr>
          <w:rFonts w:ascii="Candara" w:hAnsi="Candara"/>
          <w:i/>
          <w:sz w:val="24"/>
          <w:szCs w:val="24"/>
        </w:rPr>
        <w:t>katedros) vadovas ar kitas atsakingas asmuo</w:t>
      </w:r>
      <w:r w:rsidRPr="00F42976">
        <w:rPr>
          <w:rFonts w:ascii="Candara" w:hAnsi="Candara"/>
          <w:b/>
          <w:i/>
          <w:sz w:val="24"/>
          <w:szCs w:val="24"/>
        </w:rPr>
        <w:t xml:space="preserve"> </w:t>
      </w:r>
      <w:r w:rsidRPr="00F42976">
        <w:rPr>
          <w:rFonts w:ascii="Candara" w:hAnsi="Candara"/>
          <w:i/>
          <w:sz w:val="24"/>
          <w:szCs w:val="24"/>
        </w:rPr>
        <w:t>turėtų stebėti rekomendacijų įgyvendinimo procesą ir pažangą, teikti reikalingą pagalbą užduočių vykdytojams.</w:t>
      </w:r>
    </w:p>
    <w:p w:rsidR="00765CE0" w:rsidRDefault="001832FC" w:rsidP="00DE049E">
      <w:pPr>
        <w:numPr>
          <w:ilvl w:val="0"/>
          <w:numId w:val="1"/>
        </w:numPr>
        <w:ind w:left="0" w:firstLine="709"/>
        <w:jc w:val="both"/>
        <w:rPr>
          <w:rFonts w:ascii="Candara" w:hAnsi="Candara"/>
          <w:i/>
          <w:sz w:val="24"/>
          <w:szCs w:val="24"/>
        </w:rPr>
      </w:pPr>
      <w:r w:rsidRPr="00DE049E">
        <w:rPr>
          <w:rFonts w:ascii="Candara" w:hAnsi="Candara"/>
          <w:b/>
          <w:sz w:val="24"/>
          <w:szCs w:val="24"/>
        </w:rPr>
        <w:t>Rekomendacijų įgyvendinimo pažangos ataskaita, patvirtinta padalinio (fakulteto</w:t>
      </w:r>
      <w:r w:rsidR="00AD5A3F" w:rsidRPr="00DE049E">
        <w:rPr>
          <w:rFonts w:ascii="Candara" w:hAnsi="Candara"/>
          <w:b/>
          <w:sz w:val="24"/>
          <w:szCs w:val="24"/>
        </w:rPr>
        <w:t xml:space="preserve"> </w:t>
      </w:r>
      <w:r w:rsidRPr="00DE049E">
        <w:rPr>
          <w:rFonts w:ascii="Candara" w:hAnsi="Candara"/>
          <w:b/>
          <w:sz w:val="24"/>
          <w:szCs w:val="24"/>
        </w:rPr>
        <w:t>/</w:t>
      </w:r>
      <w:r w:rsidR="00AD5A3F" w:rsidRPr="00DE049E">
        <w:rPr>
          <w:rFonts w:ascii="Candara" w:hAnsi="Candara"/>
          <w:b/>
          <w:sz w:val="24"/>
          <w:szCs w:val="24"/>
        </w:rPr>
        <w:t xml:space="preserve"> </w:t>
      </w:r>
      <w:r w:rsidRPr="00DE049E">
        <w:rPr>
          <w:rFonts w:ascii="Candara" w:hAnsi="Candara"/>
          <w:b/>
          <w:sz w:val="24"/>
          <w:szCs w:val="24"/>
        </w:rPr>
        <w:t xml:space="preserve">katedros) vadovo ar už kokybę atsakingo padalinio. </w:t>
      </w:r>
      <w:r w:rsidRPr="00DE049E">
        <w:rPr>
          <w:rFonts w:ascii="Candara" w:hAnsi="Candara"/>
          <w:i/>
          <w:sz w:val="24"/>
          <w:szCs w:val="24"/>
        </w:rPr>
        <w:t>Rekomendacijų įgyvendinimo pažangos ataskaitą</w:t>
      </w:r>
      <w:r w:rsidR="003B7A8F" w:rsidRPr="00DE049E">
        <w:rPr>
          <w:rFonts w:ascii="Candara" w:hAnsi="Candara"/>
          <w:i/>
          <w:sz w:val="24"/>
          <w:szCs w:val="24"/>
        </w:rPr>
        <w:t xml:space="preserve"> vykdomoms programoms</w:t>
      </w:r>
      <w:r w:rsidRPr="00DE049E">
        <w:rPr>
          <w:rFonts w:ascii="Candara" w:hAnsi="Candara"/>
          <w:i/>
          <w:sz w:val="24"/>
          <w:szCs w:val="24"/>
        </w:rPr>
        <w:t xml:space="preserve"> rekomenduojama parengti per </w:t>
      </w:r>
      <w:r w:rsidRPr="00DE049E">
        <w:rPr>
          <w:rFonts w:ascii="Candara" w:hAnsi="Candara"/>
          <w:b/>
          <w:i/>
          <w:sz w:val="24"/>
          <w:szCs w:val="24"/>
        </w:rPr>
        <w:t>1,5 met</w:t>
      </w:r>
      <w:r w:rsidR="007C61CE">
        <w:rPr>
          <w:rFonts w:ascii="Candara" w:hAnsi="Candara"/>
          <w:b/>
          <w:i/>
          <w:sz w:val="24"/>
          <w:szCs w:val="24"/>
        </w:rPr>
        <w:t>ų</w:t>
      </w:r>
      <w:r w:rsidRPr="00DE049E">
        <w:rPr>
          <w:rFonts w:ascii="Candara" w:hAnsi="Candara"/>
          <w:i/>
          <w:sz w:val="24"/>
          <w:szCs w:val="24"/>
        </w:rPr>
        <w:t xml:space="preserve"> nuo studijų programos išorinio vertinimo pabaigos. </w:t>
      </w:r>
      <w:r w:rsidR="00DE049E" w:rsidRPr="00DE049E">
        <w:rPr>
          <w:rFonts w:ascii="Candara" w:hAnsi="Candara"/>
          <w:i/>
          <w:sz w:val="24"/>
          <w:szCs w:val="24"/>
        </w:rPr>
        <w:t>Ketinamoms vykdyti</w:t>
      </w:r>
      <w:r w:rsidR="003B7A8F" w:rsidRPr="00DE049E">
        <w:rPr>
          <w:rFonts w:ascii="Candara" w:hAnsi="Candara"/>
          <w:i/>
          <w:sz w:val="24"/>
          <w:szCs w:val="24"/>
        </w:rPr>
        <w:t xml:space="preserve"> studijų programoms pažangos ataskaitą rekomenduojama parengti per </w:t>
      </w:r>
      <w:r w:rsidR="003B7A8F" w:rsidRPr="00DE049E">
        <w:rPr>
          <w:rFonts w:ascii="Candara" w:hAnsi="Candara"/>
          <w:b/>
          <w:i/>
          <w:sz w:val="24"/>
          <w:szCs w:val="24"/>
        </w:rPr>
        <w:t>6 mėn.</w:t>
      </w:r>
      <w:r w:rsidR="003B7A8F" w:rsidRPr="00DE049E">
        <w:rPr>
          <w:rFonts w:ascii="Candara" w:hAnsi="Candara"/>
          <w:i/>
          <w:sz w:val="24"/>
          <w:szCs w:val="24"/>
        </w:rPr>
        <w:t xml:space="preserve"> nuo programos įgyvendinimo pradžios. </w:t>
      </w:r>
      <w:r w:rsidRPr="00DE049E">
        <w:rPr>
          <w:rFonts w:ascii="Candara" w:hAnsi="Candara"/>
          <w:i/>
          <w:sz w:val="24"/>
          <w:szCs w:val="24"/>
        </w:rPr>
        <w:t xml:space="preserve">Rekomenduojama šios ataskaitos  apimtis </w:t>
      </w:r>
      <w:r w:rsidRPr="00DE049E">
        <w:rPr>
          <w:rFonts w:ascii="Candara" w:hAnsi="Candara"/>
          <w:b/>
          <w:i/>
          <w:sz w:val="24"/>
          <w:szCs w:val="24"/>
        </w:rPr>
        <w:t>1 – 2 psl.</w:t>
      </w:r>
      <w:r w:rsidRPr="00DE049E">
        <w:rPr>
          <w:rFonts w:ascii="Candara" w:hAnsi="Candara"/>
          <w:i/>
          <w:sz w:val="24"/>
          <w:szCs w:val="24"/>
        </w:rPr>
        <w:t xml:space="preserve"> Joje tikslinga surašyti ekspertų rekomendacijas ir </w:t>
      </w:r>
      <w:r w:rsidR="0009223C" w:rsidRPr="00DE049E">
        <w:rPr>
          <w:rFonts w:ascii="Candara" w:hAnsi="Candara"/>
          <w:i/>
          <w:sz w:val="24"/>
          <w:szCs w:val="24"/>
        </w:rPr>
        <w:t xml:space="preserve">šių </w:t>
      </w:r>
      <w:r w:rsidRPr="00DE049E">
        <w:rPr>
          <w:rFonts w:ascii="Candara" w:hAnsi="Candara"/>
          <w:i/>
          <w:sz w:val="24"/>
          <w:szCs w:val="24"/>
        </w:rPr>
        <w:t>rekomendacij</w:t>
      </w:r>
      <w:r w:rsidR="0009223C" w:rsidRPr="00DE049E">
        <w:rPr>
          <w:rFonts w:ascii="Candara" w:hAnsi="Candara"/>
          <w:i/>
          <w:sz w:val="24"/>
          <w:szCs w:val="24"/>
        </w:rPr>
        <w:t>ų</w:t>
      </w:r>
      <w:r w:rsidRPr="00DE049E">
        <w:rPr>
          <w:rFonts w:ascii="Candara" w:hAnsi="Candara"/>
          <w:i/>
          <w:sz w:val="24"/>
          <w:szCs w:val="24"/>
        </w:rPr>
        <w:t xml:space="preserve"> įgyvendinimo rezultatus bei įrodymus</w:t>
      </w:r>
      <w:r w:rsidR="007C61CE">
        <w:rPr>
          <w:rFonts w:ascii="Candara" w:hAnsi="Candara"/>
          <w:i/>
          <w:sz w:val="24"/>
          <w:szCs w:val="24"/>
        </w:rPr>
        <w:t xml:space="preserve">, numatomus tolesnius veiksmus </w:t>
      </w:r>
      <w:r w:rsidR="00DD3D64">
        <w:rPr>
          <w:rFonts w:ascii="Candara" w:hAnsi="Candara"/>
          <w:i/>
          <w:sz w:val="24"/>
          <w:szCs w:val="24"/>
        </w:rPr>
        <w:t xml:space="preserve">ir </w:t>
      </w:r>
      <w:r w:rsidR="007C61CE">
        <w:rPr>
          <w:rFonts w:ascii="Candara" w:hAnsi="Candara"/>
          <w:i/>
          <w:sz w:val="24"/>
          <w:szCs w:val="24"/>
        </w:rPr>
        <w:t>jų įgyvendinimo terminus</w:t>
      </w:r>
      <w:r w:rsidRPr="00DE049E">
        <w:rPr>
          <w:rFonts w:ascii="Candara" w:hAnsi="Candara"/>
          <w:i/>
          <w:sz w:val="24"/>
          <w:szCs w:val="24"/>
        </w:rPr>
        <w:t xml:space="preserve">. </w:t>
      </w:r>
      <w:r w:rsidR="00410643" w:rsidRPr="00DE049E">
        <w:rPr>
          <w:rFonts w:ascii="Candara" w:hAnsi="Candara"/>
          <w:i/>
          <w:sz w:val="24"/>
          <w:szCs w:val="24"/>
        </w:rPr>
        <w:t xml:space="preserve">Siūloma pateikti informaciją </w:t>
      </w:r>
      <w:r w:rsidR="0009223C" w:rsidRPr="00DE049E">
        <w:rPr>
          <w:rFonts w:ascii="Candara" w:hAnsi="Candara"/>
          <w:i/>
          <w:sz w:val="24"/>
          <w:szCs w:val="24"/>
        </w:rPr>
        <w:t xml:space="preserve">ir </w:t>
      </w:r>
      <w:r w:rsidR="00410643" w:rsidRPr="00DE049E">
        <w:rPr>
          <w:rFonts w:ascii="Candara" w:hAnsi="Candara"/>
          <w:i/>
          <w:sz w:val="24"/>
          <w:szCs w:val="24"/>
        </w:rPr>
        <w:t xml:space="preserve">apie kitus pokyčius programoje, </w:t>
      </w:r>
      <w:r w:rsidR="0009223C" w:rsidRPr="00DE049E">
        <w:rPr>
          <w:rFonts w:ascii="Candara" w:hAnsi="Candara"/>
          <w:i/>
          <w:sz w:val="24"/>
          <w:szCs w:val="24"/>
        </w:rPr>
        <w:t xml:space="preserve">jeigu </w:t>
      </w:r>
      <w:r w:rsidR="00DE049E" w:rsidRPr="00DE049E">
        <w:rPr>
          <w:rFonts w:ascii="Candara" w:hAnsi="Candara"/>
          <w:i/>
          <w:sz w:val="24"/>
          <w:szCs w:val="24"/>
        </w:rPr>
        <w:t>tokių</w:t>
      </w:r>
      <w:r w:rsidR="00410643" w:rsidRPr="00DE049E">
        <w:rPr>
          <w:rFonts w:ascii="Candara" w:hAnsi="Candara"/>
          <w:i/>
          <w:sz w:val="24"/>
          <w:szCs w:val="24"/>
        </w:rPr>
        <w:t xml:space="preserve"> įvyko</w:t>
      </w:r>
      <w:r w:rsidR="0009223C" w:rsidRPr="00DE049E">
        <w:rPr>
          <w:rFonts w:ascii="Candara" w:hAnsi="Candara"/>
          <w:i/>
          <w:sz w:val="24"/>
          <w:szCs w:val="24"/>
        </w:rPr>
        <w:t xml:space="preserve"> pasibaigus vertinimui, nors tai </w:t>
      </w:r>
      <w:r w:rsidR="00DE049E" w:rsidRPr="00DE049E">
        <w:rPr>
          <w:rFonts w:ascii="Candara" w:hAnsi="Candara"/>
          <w:i/>
          <w:sz w:val="24"/>
          <w:szCs w:val="24"/>
        </w:rPr>
        <w:t xml:space="preserve">ir nebūtų </w:t>
      </w:r>
      <w:r w:rsidR="007C61CE">
        <w:rPr>
          <w:rFonts w:ascii="Candara" w:hAnsi="Candara"/>
          <w:i/>
          <w:sz w:val="24"/>
          <w:szCs w:val="24"/>
        </w:rPr>
        <w:t xml:space="preserve">tiesiogiai </w:t>
      </w:r>
      <w:r w:rsidR="00DE049E" w:rsidRPr="00DE049E">
        <w:rPr>
          <w:rFonts w:ascii="Candara" w:hAnsi="Candara"/>
          <w:i/>
          <w:sz w:val="24"/>
          <w:szCs w:val="24"/>
        </w:rPr>
        <w:t>susiję</w:t>
      </w:r>
      <w:r w:rsidR="0009223C" w:rsidRPr="00DE049E">
        <w:rPr>
          <w:rFonts w:ascii="Candara" w:hAnsi="Candara"/>
          <w:i/>
          <w:sz w:val="24"/>
          <w:szCs w:val="24"/>
        </w:rPr>
        <w:t xml:space="preserve"> su ekspertų rekomendacijomis</w:t>
      </w:r>
      <w:r w:rsidR="00410643" w:rsidRPr="00DE049E">
        <w:rPr>
          <w:rFonts w:ascii="Candara" w:hAnsi="Candara"/>
          <w:i/>
          <w:sz w:val="24"/>
          <w:szCs w:val="24"/>
        </w:rPr>
        <w:t xml:space="preserve">. </w:t>
      </w:r>
      <w:r w:rsidRPr="00DE049E">
        <w:rPr>
          <w:rFonts w:ascii="Candara" w:hAnsi="Candara"/>
          <w:i/>
          <w:sz w:val="24"/>
          <w:szCs w:val="24"/>
        </w:rPr>
        <w:t xml:space="preserve">Tuo atveju, jei rekomendacijos buvo neįgyvendintos arba įgyvendintos </w:t>
      </w:r>
      <w:r w:rsidR="0005201D" w:rsidRPr="00DE049E">
        <w:rPr>
          <w:rFonts w:ascii="Candara" w:hAnsi="Candara"/>
          <w:i/>
          <w:sz w:val="24"/>
          <w:szCs w:val="24"/>
        </w:rPr>
        <w:t>iš dalies</w:t>
      </w:r>
      <w:r w:rsidRPr="00DE049E">
        <w:rPr>
          <w:rFonts w:ascii="Candara" w:hAnsi="Candara"/>
          <w:i/>
          <w:sz w:val="24"/>
          <w:szCs w:val="24"/>
        </w:rPr>
        <w:t>, pažangos ataskaitoje turėtų būti nurodomos priežastys ir</w:t>
      </w:r>
      <w:r w:rsidR="00AD5A3F" w:rsidRPr="00DE049E">
        <w:rPr>
          <w:rFonts w:ascii="Candara" w:hAnsi="Candara"/>
          <w:i/>
          <w:sz w:val="24"/>
          <w:szCs w:val="24"/>
        </w:rPr>
        <w:t xml:space="preserve"> </w:t>
      </w:r>
      <w:r w:rsidRPr="00DE049E">
        <w:rPr>
          <w:rFonts w:ascii="Candara" w:hAnsi="Candara"/>
          <w:i/>
          <w:sz w:val="24"/>
          <w:szCs w:val="24"/>
        </w:rPr>
        <w:t>/</w:t>
      </w:r>
      <w:r w:rsidR="00AD5A3F" w:rsidRPr="00DE049E">
        <w:rPr>
          <w:rFonts w:ascii="Candara" w:hAnsi="Candara"/>
          <w:i/>
          <w:sz w:val="24"/>
          <w:szCs w:val="24"/>
        </w:rPr>
        <w:t xml:space="preserve"> </w:t>
      </w:r>
      <w:r w:rsidRPr="00DE049E">
        <w:rPr>
          <w:rFonts w:ascii="Candara" w:hAnsi="Candara"/>
          <w:i/>
          <w:sz w:val="24"/>
          <w:szCs w:val="24"/>
        </w:rPr>
        <w:t xml:space="preserve">ar aplinkybės, dėl kurių rekomendacijos buvo neįgyvendintos. </w:t>
      </w:r>
    </w:p>
    <w:p w:rsidR="001832FC" w:rsidRPr="00DE049E" w:rsidRDefault="001832FC" w:rsidP="00DE049E">
      <w:pPr>
        <w:numPr>
          <w:ilvl w:val="0"/>
          <w:numId w:val="1"/>
        </w:numPr>
        <w:ind w:left="0" w:firstLine="709"/>
        <w:jc w:val="both"/>
        <w:rPr>
          <w:rFonts w:ascii="Candara" w:hAnsi="Candara"/>
          <w:i/>
          <w:sz w:val="24"/>
          <w:szCs w:val="24"/>
        </w:rPr>
      </w:pPr>
      <w:r w:rsidRPr="00DE049E">
        <w:rPr>
          <w:rFonts w:ascii="Candara" w:hAnsi="Candara"/>
          <w:b/>
          <w:sz w:val="24"/>
          <w:szCs w:val="24"/>
        </w:rPr>
        <w:lastRenderedPageBreak/>
        <w:t xml:space="preserve">Pažangos ataskaitos pateikimas SKVC ir viešinimas aukštosios mokyklos ar jos padalinio (fakulteto) tinklapyje. </w:t>
      </w:r>
      <w:r w:rsidR="003B0401" w:rsidRPr="00DE049E">
        <w:rPr>
          <w:rFonts w:ascii="Candara" w:hAnsi="Candara"/>
          <w:i/>
          <w:sz w:val="24"/>
          <w:szCs w:val="24"/>
        </w:rPr>
        <w:t>Vykdomų studijų programų</w:t>
      </w:r>
      <w:r w:rsidR="003B0401" w:rsidRPr="00DE049E">
        <w:rPr>
          <w:rFonts w:ascii="Candara" w:hAnsi="Candara"/>
          <w:b/>
          <w:sz w:val="24"/>
          <w:szCs w:val="24"/>
        </w:rPr>
        <w:t xml:space="preserve"> </w:t>
      </w:r>
      <w:r w:rsidR="003B0401" w:rsidRPr="00DE049E">
        <w:rPr>
          <w:rFonts w:ascii="Candara" w:hAnsi="Candara"/>
          <w:i/>
          <w:sz w:val="24"/>
          <w:szCs w:val="24"/>
        </w:rPr>
        <w:t>p</w:t>
      </w:r>
      <w:r w:rsidRPr="00DE049E">
        <w:rPr>
          <w:rFonts w:ascii="Candara" w:hAnsi="Candara"/>
          <w:i/>
          <w:sz w:val="24"/>
          <w:szCs w:val="24"/>
        </w:rPr>
        <w:t>ažangos ataskaita, pasirašyta aukštosios mokyklos padalinio (fakulteto) vadovo elektronine forma pateikiama SKVC ne vėliau kaip</w:t>
      </w:r>
      <w:r w:rsidR="003B0401" w:rsidRPr="00DE049E">
        <w:rPr>
          <w:rFonts w:ascii="Candara" w:hAnsi="Candara"/>
          <w:i/>
          <w:sz w:val="24"/>
          <w:szCs w:val="24"/>
        </w:rPr>
        <w:t xml:space="preserve"> po</w:t>
      </w:r>
      <w:r w:rsidRPr="00DE049E">
        <w:rPr>
          <w:rFonts w:ascii="Candara" w:hAnsi="Candara"/>
          <w:b/>
          <w:i/>
          <w:sz w:val="24"/>
          <w:szCs w:val="24"/>
        </w:rPr>
        <w:t xml:space="preserve"> 1,5 metų</w:t>
      </w:r>
      <w:r w:rsidRPr="00DE049E">
        <w:rPr>
          <w:rFonts w:ascii="Candara" w:hAnsi="Candara"/>
          <w:i/>
          <w:sz w:val="24"/>
          <w:szCs w:val="24"/>
        </w:rPr>
        <w:t xml:space="preserve"> nuo </w:t>
      </w:r>
      <w:r w:rsidR="00DD3D64">
        <w:rPr>
          <w:rFonts w:ascii="Candara" w:hAnsi="Candara"/>
          <w:i/>
          <w:sz w:val="24"/>
          <w:szCs w:val="24"/>
        </w:rPr>
        <w:t>praėjusio programos vertinimo.</w:t>
      </w:r>
      <w:r w:rsidRPr="00DE049E">
        <w:rPr>
          <w:rFonts w:ascii="Candara" w:hAnsi="Candara"/>
          <w:b/>
          <w:sz w:val="24"/>
          <w:szCs w:val="24"/>
        </w:rPr>
        <w:t xml:space="preserve"> </w:t>
      </w:r>
      <w:r w:rsidR="00DE049E" w:rsidRPr="00DE049E">
        <w:rPr>
          <w:rFonts w:ascii="Candara" w:hAnsi="Candara"/>
          <w:i/>
          <w:sz w:val="24"/>
          <w:szCs w:val="24"/>
        </w:rPr>
        <w:t>Ketinamų vykdyti</w:t>
      </w:r>
      <w:r w:rsidR="003B0401" w:rsidRPr="00DE049E">
        <w:rPr>
          <w:rFonts w:ascii="Candara" w:hAnsi="Candara"/>
          <w:i/>
          <w:sz w:val="24"/>
          <w:szCs w:val="24"/>
        </w:rPr>
        <w:t xml:space="preserve"> studijų programų pažangos ataskaita pateikiama ne vėliau kaip po </w:t>
      </w:r>
      <w:r w:rsidR="003B0401" w:rsidRPr="00DE049E">
        <w:rPr>
          <w:rFonts w:ascii="Candara" w:hAnsi="Candara"/>
          <w:b/>
          <w:i/>
          <w:sz w:val="24"/>
          <w:szCs w:val="24"/>
        </w:rPr>
        <w:t>6 mėn.</w:t>
      </w:r>
      <w:r w:rsidR="003B0401" w:rsidRPr="00DE049E">
        <w:rPr>
          <w:rFonts w:ascii="Candara" w:hAnsi="Candara"/>
          <w:i/>
          <w:sz w:val="24"/>
          <w:szCs w:val="24"/>
        </w:rPr>
        <w:t xml:space="preserve"> nuo programos įgyvendinimo pradžios. </w:t>
      </w:r>
      <w:r w:rsidRPr="00DE049E">
        <w:rPr>
          <w:rFonts w:ascii="Candara" w:hAnsi="Candara"/>
          <w:i/>
          <w:sz w:val="24"/>
          <w:szCs w:val="24"/>
        </w:rPr>
        <w:t xml:space="preserve">Taip pat minėta pažangos ataskaita turi būti viešai skelbiama aukštosios mokyklos ar jos padalinio (fakulteto) tinklapyje. </w:t>
      </w:r>
    </w:p>
    <w:p w:rsidR="002E413E" w:rsidRPr="00410643" w:rsidRDefault="002E413E" w:rsidP="00410643">
      <w:pPr>
        <w:pStyle w:val="Sraopastraipa"/>
        <w:numPr>
          <w:ilvl w:val="0"/>
          <w:numId w:val="1"/>
        </w:numPr>
        <w:spacing w:after="0" w:line="300" w:lineRule="auto"/>
        <w:ind w:left="0" w:firstLine="720"/>
        <w:jc w:val="both"/>
        <w:rPr>
          <w:rFonts w:ascii="Candara" w:hAnsi="Candara"/>
          <w:b/>
        </w:rPr>
      </w:pPr>
      <w:r w:rsidRPr="002E413E">
        <w:rPr>
          <w:rFonts w:ascii="Candara" w:hAnsi="Candara"/>
          <w:b/>
        </w:rPr>
        <w:t>Pažangos ataskaitos patalpinimas SKVC puslapyje šalia studijų programos vertinimo išvadų.</w:t>
      </w:r>
      <w:r w:rsidR="00AD5A3F">
        <w:rPr>
          <w:rFonts w:ascii="Candara" w:hAnsi="Candara"/>
          <w:b/>
        </w:rPr>
        <w:t xml:space="preserve"> </w:t>
      </w:r>
      <w:r w:rsidRPr="00410643">
        <w:rPr>
          <w:rFonts w:ascii="Candara" w:hAnsi="Candara"/>
        </w:rPr>
        <w:t xml:space="preserve">SKVC, gavęs iš aukštosios mokyklos pažangos ataskaitą, patalpina ją savo puslapyje šalia studijų programos išorinio ekspertinio vertinimo išvadų. Rekomenduojama pažangos ataskaitą rengti lentelės forma, kurioje turėtų būti tiksliai surašytos ekspertų pateiktos rekomendacijos, </w:t>
      </w:r>
      <w:r w:rsidR="00DD3D64">
        <w:rPr>
          <w:rFonts w:ascii="Candara" w:hAnsi="Candara"/>
        </w:rPr>
        <w:t xml:space="preserve"> aukštosios mokyklos atlikti arba planuojami veiksmai įgyvendinant rekomendacijas, rekomendacijų įgyvendinimo terminai</w:t>
      </w:r>
      <w:r w:rsidRPr="00410643">
        <w:rPr>
          <w:rFonts w:ascii="Candara" w:hAnsi="Candara"/>
        </w:rPr>
        <w:t>. Tuo atveju, jeigu aukštoji mokykla nusprendė ekspertų rekomendacijų neįgyvendinti arba įgyvendinti tik jų dalį, lentelėje reikėtų nurodyti priežastis, kodėl rekomendacijos nebuvo (nebus) įgyvendintos.</w:t>
      </w:r>
    </w:p>
    <w:p w:rsidR="00410643" w:rsidRDefault="00410643" w:rsidP="002E413E">
      <w:pPr>
        <w:spacing w:line="300" w:lineRule="auto"/>
        <w:jc w:val="both"/>
        <w:rPr>
          <w:rFonts w:ascii="Candara" w:hAnsi="Candara"/>
        </w:rPr>
      </w:pPr>
    </w:p>
    <w:p w:rsidR="002E413E" w:rsidRPr="002E413E" w:rsidRDefault="002E413E" w:rsidP="002E413E">
      <w:pPr>
        <w:spacing w:line="300" w:lineRule="auto"/>
        <w:jc w:val="both"/>
        <w:rPr>
          <w:rFonts w:ascii="Candara" w:hAnsi="Candara"/>
        </w:rPr>
      </w:pPr>
      <w:r w:rsidRPr="002E413E">
        <w:rPr>
          <w:rFonts w:ascii="Candara" w:hAnsi="Candara"/>
        </w:rPr>
        <w:t>Ekspertų nurodytų rekomendacijų įgyvendinimo lentelės pavyzdys, kuriuo galima naudotis rengiant pažangos ataskaitą:</w:t>
      </w:r>
    </w:p>
    <w:tbl>
      <w:tblPr>
        <w:tblStyle w:val="Lentelstinklelis"/>
        <w:tblW w:w="4628" w:type="pct"/>
        <w:jc w:val="center"/>
        <w:tblInd w:w="-1528" w:type="dxa"/>
        <w:tblLook w:val="04A0" w:firstRow="1" w:lastRow="0" w:firstColumn="1" w:lastColumn="0" w:noHBand="0" w:noVBand="1"/>
      </w:tblPr>
      <w:tblGrid>
        <w:gridCol w:w="638"/>
        <w:gridCol w:w="2556"/>
        <w:gridCol w:w="2838"/>
        <w:gridCol w:w="1699"/>
        <w:gridCol w:w="1699"/>
      </w:tblGrid>
      <w:tr w:rsidR="003B0AE9" w:rsidRPr="002E413E" w:rsidTr="003B0AE9">
        <w:trPr>
          <w:jc w:val="center"/>
        </w:trPr>
        <w:tc>
          <w:tcPr>
            <w:tcW w:w="338" w:type="pct"/>
            <w:vAlign w:val="center"/>
          </w:tcPr>
          <w:p w:rsidR="003B0AE9" w:rsidRPr="002E413E" w:rsidRDefault="003B0AE9" w:rsidP="003B0AE9">
            <w:pPr>
              <w:jc w:val="center"/>
              <w:rPr>
                <w:rFonts w:ascii="Candara" w:hAnsi="Candara"/>
              </w:rPr>
            </w:pPr>
            <w:r w:rsidRPr="002E413E">
              <w:rPr>
                <w:rFonts w:ascii="Candara" w:hAnsi="Candara"/>
              </w:rPr>
              <w:t>Eil. Nr.</w:t>
            </w:r>
          </w:p>
        </w:tc>
        <w:tc>
          <w:tcPr>
            <w:tcW w:w="1354" w:type="pct"/>
            <w:vAlign w:val="center"/>
          </w:tcPr>
          <w:p w:rsidR="003B0AE9" w:rsidRPr="002E413E" w:rsidRDefault="003B0AE9" w:rsidP="003B0AE9">
            <w:pPr>
              <w:jc w:val="center"/>
              <w:rPr>
                <w:rFonts w:ascii="Candara" w:hAnsi="Candara"/>
              </w:rPr>
            </w:pPr>
            <w:r w:rsidRPr="002E413E">
              <w:rPr>
                <w:rFonts w:ascii="Candara" w:hAnsi="Candara"/>
              </w:rPr>
              <w:t>Ekspertų rekomendacijos</w:t>
            </w:r>
          </w:p>
        </w:tc>
        <w:tc>
          <w:tcPr>
            <w:tcW w:w="1504" w:type="pct"/>
            <w:vAlign w:val="center"/>
          </w:tcPr>
          <w:p w:rsidR="003B0AE9" w:rsidRPr="002E413E" w:rsidRDefault="003B0AE9" w:rsidP="003B0AE9">
            <w:pPr>
              <w:jc w:val="center"/>
              <w:rPr>
                <w:rFonts w:ascii="Candara" w:hAnsi="Candara"/>
              </w:rPr>
            </w:pPr>
            <w:r>
              <w:rPr>
                <w:rFonts w:ascii="Candara" w:hAnsi="Candara"/>
              </w:rPr>
              <w:t>Aukštosios mokyklos atlikti arba planuojami veiksmai</w:t>
            </w:r>
          </w:p>
        </w:tc>
        <w:tc>
          <w:tcPr>
            <w:tcW w:w="901" w:type="pct"/>
            <w:vAlign w:val="center"/>
          </w:tcPr>
          <w:p w:rsidR="003B0AE9" w:rsidRPr="002E413E" w:rsidRDefault="003B0AE9" w:rsidP="003B0AE9">
            <w:pPr>
              <w:jc w:val="center"/>
              <w:rPr>
                <w:rFonts w:ascii="Candara" w:hAnsi="Candara"/>
              </w:rPr>
            </w:pPr>
            <w:r>
              <w:rPr>
                <w:rFonts w:ascii="Candara" w:hAnsi="Candara"/>
              </w:rPr>
              <w:t>Rekomendacijų įgyvendinimo terminai</w:t>
            </w:r>
          </w:p>
        </w:tc>
        <w:tc>
          <w:tcPr>
            <w:tcW w:w="901" w:type="pct"/>
            <w:vAlign w:val="center"/>
          </w:tcPr>
          <w:p w:rsidR="003B0AE9" w:rsidRDefault="003B0AE9" w:rsidP="00CE3FD4">
            <w:pPr>
              <w:jc w:val="center"/>
              <w:rPr>
                <w:rFonts w:ascii="Candara" w:hAnsi="Candara"/>
              </w:rPr>
            </w:pPr>
            <w:r>
              <w:rPr>
                <w:rFonts w:ascii="Candara" w:hAnsi="Candara"/>
              </w:rPr>
              <w:t>Pa</w:t>
            </w:r>
            <w:r w:rsidR="00CE3FD4">
              <w:rPr>
                <w:rFonts w:ascii="Candara" w:hAnsi="Candara"/>
              </w:rPr>
              <w:t>st</w:t>
            </w:r>
            <w:r>
              <w:rPr>
                <w:rFonts w:ascii="Candara" w:hAnsi="Candara"/>
              </w:rPr>
              <w:t>a</w:t>
            </w:r>
            <w:r w:rsidR="00CE3FD4">
              <w:rPr>
                <w:rFonts w:ascii="Candara" w:hAnsi="Candara"/>
              </w:rPr>
              <w:t>bos</w:t>
            </w:r>
          </w:p>
        </w:tc>
      </w:tr>
      <w:tr w:rsidR="003B0AE9" w:rsidRPr="002E413E" w:rsidTr="003B0AE9">
        <w:trPr>
          <w:jc w:val="center"/>
        </w:trPr>
        <w:tc>
          <w:tcPr>
            <w:tcW w:w="338" w:type="pct"/>
            <w:vAlign w:val="center"/>
          </w:tcPr>
          <w:p w:rsidR="003B0AE9" w:rsidRPr="002E413E" w:rsidRDefault="003B0AE9" w:rsidP="000057DF">
            <w:pPr>
              <w:jc w:val="center"/>
              <w:rPr>
                <w:rFonts w:ascii="Candara" w:hAnsi="Candara"/>
              </w:rPr>
            </w:pPr>
          </w:p>
        </w:tc>
        <w:tc>
          <w:tcPr>
            <w:tcW w:w="1354" w:type="pct"/>
            <w:vAlign w:val="center"/>
          </w:tcPr>
          <w:p w:rsidR="003B0AE9" w:rsidRPr="002E413E" w:rsidRDefault="003B0AE9" w:rsidP="000057DF">
            <w:pPr>
              <w:rPr>
                <w:rFonts w:ascii="Candara" w:hAnsi="Candara"/>
              </w:rPr>
            </w:pPr>
          </w:p>
        </w:tc>
        <w:tc>
          <w:tcPr>
            <w:tcW w:w="1504" w:type="pct"/>
            <w:vAlign w:val="center"/>
          </w:tcPr>
          <w:p w:rsidR="003B0AE9" w:rsidRPr="002E413E" w:rsidRDefault="003B0AE9" w:rsidP="000057DF">
            <w:pPr>
              <w:rPr>
                <w:rFonts w:ascii="Candara" w:hAnsi="Candara"/>
              </w:rPr>
            </w:pPr>
          </w:p>
        </w:tc>
        <w:tc>
          <w:tcPr>
            <w:tcW w:w="901" w:type="pct"/>
            <w:vAlign w:val="center"/>
          </w:tcPr>
          <w:p w:rsidR="003B0AE9" w:rsidRPr="002E413E" w:rsidRDefault="003B0AE9" w:rsidP="000057DF">
            <w:pPr>
              <w:rPr>
                <w:rFonts w:ascii="Candara" w:hAnsi="Candara"/>
              </w:rPr>
            </w:pPr>
          </w:p>
        </w:tc>
        <w:tc>
          <w:tcPr>
            <w:tcW w:w="901" w:type="pct"/>
          </w:tcPr>
          <w:p w:rsidR="003B0AE9" w:rsidRPr="002E413E" w:rsidRDefault="003B0AE9" w:rsidP="000057DF">
            <w:pPr>
              <w:rPr>
                <w:rFonts w:ascii="Candara" w:hAnsi="Candara"/>
              </w:rPr>
            </w:pPr>
          </w:p>
        </w:tc>
      </w:tr>
      <w:tr w:rsidR="003B0AE9" w:rsidRPr="002E413E" w:rsidTr="003B0AE9">
        <w:trPr>
          <w:jc w:val="center"/>
        </w:trPr>
        <w:tc>
          <w:tcPr>
            <w:tcW w:w="338" w:type="pct"/>
            <w:vAlign w:val="center"/>
          </w:tcPr>
          <w:p w:rsidR="003B0AE9" w:rsidRPr="002E413E" w:rsidRDefault="003B0AE9" w:rsidP="000057DF">
            <w:pPr>
              <w:jc w:val="center"/>
              <w:rPr>
                <w:rFonts w:ascii="Candara" w:hAnsi="Candara"/>
              </w:rPr>
            </w:pPr>
          </w:p>
        </w:tc>
        <w:tc>
          <w:tcPr>
            <w:tcW w:w="1354" w:type="pct"/>
            <w:vAlign w:val="center"/>
          </w:tcPr>
          <w:p w:rsidR="003B0AE9" w:rsidRPr="002E413E" w:rsidRDefault="003B0AE9" w:rsidP="000057DF">
            <w:pPr>
              <w:rPr>
                <w:rFonts w:ascii="Candara" w:hAnsi="Candara"/>
              </w:rPr>
            </w:pPr>
          </w:p>
        </w:tc>
        <w:tc>
          <w:tcPr>
            <w:tcW w:w="1504" w:type="pct"/>
            <w:vAlign w:val="center"/>
          </w:tcPr>
          <w:p w:rsidR="003B0AE9" w:rsidRPr="002E413E" w:rsidRDefault="003B0AE9" w:rsidP="000057DF">
            <w:pPr>
              <w:rPr>
                <w:rFonts w:ascii="Candara" w:hAnsi="Candara"/>
              </w:rPr>
            </w:pPr>
          </w:p>
        </w:tc>
        <w:tc>
          <w:tcPr>
            <w:tcW w:w="901" w:type="pct"/>
            <w:vAlign w:val="center"/>
          </w:tcPr>
          <w:p w:rsidR="003B0AE9" w:rsidRPr="002E413E" w:rsidRDefault="003B0AE9" w:rsidP="000057DF">
            <w:pPr>
              <w:rPr>
                <w:rFonts w:ascii="Candara" w:hAnsi="Candara"/>
              </w:rPr>
            </w:pPr>
          </w:p>
        </w:tc>
        <w:tc>
          <w:tcPr>
            <w:tcW w:w="901" w:type="pct"/>
          </w:tcPr>
          <w:p w:rsidR="003B0AE9" w:rsidRPr="002E413E" w:rsidRDefault="003B0AE9" w:rsidP="000057DF">
            <w:pPr>
              <w:rPr>
                <w:rFonts w:ascii="Candara" w:hAnsi="Candara"/>
              </w:rPr>
            </w:pPr>
          </w:p>
        </w:tc>
      </w:tr>
      <w:tr w:rsidR="003B0AE9" w:rsidRPr="002E413E" w:rsidTr="003B0AE9">
        <w:trPr>
          <w:jc w:val="center"/>
        </w:trPr>
        <w:tc>
          <w:tcPr>
            <w:tcW w:w="338" w:type="pct"/>
            <w:vAlign w:val="center"/>
          </w:tcPr>
          <w:p w:rsidR="003B0AE9" w:rsidRPr="002E413E" w:rsidRDefault="003B0AE9" w:rsidP="000057DF">
            <w:pPr>
              <w:jc w:val="center"/>
              <w:rPr>
                <w:rFonts w:ascii="Candara" w:hAnsi="Candara"/>
              </w:rPr>
            </w:pPr>
          </w:p>
        </w:tc>
        <w:tc>
          <w:tcPr>
            <w:tcW w:w="1354" w:type="pct"/>
            <w:vAlign w:val="center"/>
          </w:tcPr>
          <w:p w:rsidR="003B0AE9" w:rsidRPr="002E413E" w:rsidRDefault="003B0AE9" w:rsidP="000057DF">
            <w:pPr>
              <w:rPr>
                <w:rFonts w:ascii="Candara" w:hAnsi="Candara"/>
              </w:rPr>
            </w:pPr>
          </w:p>
        </w:tc>
        <w:tc>
          <w:tcPr>
            <w:tcW w:w="1504" w:type="pct"/>
            <w:vAlign w:val="center"/>
          </w:tcPr>
          <w:p w:rsidR="003B0AE9" w:rsidRPr="002E413E" w:rsidRDefault="003B0AE9" w:rsidP="000057DF">
            <w:pPr>
              <w:rPr>
                <w:rFonts w:ascii="Candara" w:hAnsi="Candara"/>
              </w:rPr>
            </w:pPr>
          </w:p>
        </w:tc>
        <w:tc>
          <w:tcPr>
            <w:tcW w:w="901" w:type="pct"/>
            <w:vAlign w:val="center"/>
          </w:tcPr>
          <w:p w:rsidR="003B0AE9" w:rsidRPr="002E413E" w:rsidRDefault="003B0AE9" w:rsidP="000057DF">
            <w:pPr>
              <w:rPr>
                <w:rFonts w:ascii="Candara" w:hAnsi="Candara"/>
              </w:rPr>
            </w:pPr>
          </w:p>
        </w:tc>
        <w:tc>
          <w:tcPr>
            <w:tcW w:w="901" w:type="pct"/>
          </w:tcPr>
          <w:p w:rsidR="003B0AE9" w:rsidRPr="002E413E" w:rsidRDefault="003B0AE9" w:rsidP="000057DF">
            <w:pPr>
              <w:rPr>
                <w:rFonts w:ascii="Candara" w:hAnsi="Candara"/>
              </w:rPr>
            </w:pPr>
          </w:p>
        </w:tc>
      </w:tr>
    </w:tbl>
    <w:p w:rsidR="002E413E" w:rsidRPr="002E413E" w:rsidRDefault="002E413E" w:rsidP="002E413E">
      <w:pPr>
        <w:pStyle w:val="Sraopastraipa"/>
        <w:ind w:left="1080"/>
      </w:pPr>
    </w:p>
    <w:p w:rsidR="00154D36" w:rsidRPr="00F42976" w:rsidRDefault="00154D36">
      <w:pPr>
        <w:rPr>
          <w:rFonts w:ascii="Candara" w:hAnsi="Candara"/>
        </w:rPr>
      </w:pPr>
      <w:bookmarkStart w:id="0" w:name="_GoBack"/>
      <w:bookmarkEnd w:id="0"/>
    </w:p>
    <w:sectPr w:rsidR="00154D36" w:rsidRPr="00F42976" w:rsidSect="00F42976">
      <w:pgSz w:w="12240" w:h="15840"/>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53DBE"/>
    <w:multiLevelType w:val="hybridMultilevel"/>
    <w:tmpl w:val="95D0FB88"/>
    <w:lvl w:ilvl="0" w:tplc="CF0A4C7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FC"/>
    <w:rsid w:val="0005201D"/>
    <w:rsid w:val="0009223C"/>
    <w:rsid w:val="00154D36"/>
    <w:rsid w:val="001734D2"/>
    <w:rsid w:val="001832FC"/>
    <w:rsid w:val="001C661A"/>
    <w:rsid w:val="001D6ECA"/>
    <w:rsid w:val="002522C3"/>
    <w:rsid w:val="002E413E"/>
    <w:rsid w:val="003B0401"/>
    <w:rsid w:val="003B0AE9"/>
    <w:rsid w:val="003B7A8F"/>
    <w:rsid w:val="00410643"/>
    <w:rsid w:val="00416454"/>
    <w:rsid w:val="00765CE0"/>
    <w:rsid w:val="007C61CE"/>
    <w:rsid w:val="008A5BD2"/>
    <w:rsid w:val="009149CA"/>
    <w:rsid w:val="009D18FB"/>
    <w:rsid w:val="00A325E1"/>
    <w:rsid w:val="00AD5A3F"/>
    <w:rsid w:val="00C31281"/>
    <w:rsid w:val="00C719DD"/>
    <w:rsid w:val="00CE3FD4"/>
    <w:rsid w:val="00CE71FE"/>
    <w:rsid w:val="00DD3D64"/>
    <w:rsid w:val="00DE049E"/>
    <w:rsid w:val="00F4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2FC"/>
    <w:rPr>
      <w:rFonts w:ascii="Calibri" w:eastAsia="Calibri" w:hAnsi="Calibri"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429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2976"/>
    <w:rPr>
      <w:rFonts w:ascii="Tahoma" w:eastAsia="Calibri" w:hAnsi="Tahoma" w:cs="Tahoma"/>
      <w:sz w:val="16"/>
      <w:szCs w:val="16"/>
      <w:lang w:val="lt-LT"/>
    </w:rPr>
  </w:style>
  <w:style w:type="table" w:styleId="Lentelstinklelis">
    <w:name w:val="Table Grid"/>
    <w:basedOn w:val="prastojilentel"/>
    <w:uiPriority w:val="59"/>
    <w:rsid w:val="002E413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E413E"/>
    <w:pPr>
      <w:ind w:left="720"/>
      <w:contextualSpacing/>
    </w:pPr>
  </w:style>
  <w:style w:type="character" w:styleId="Komentaronuoroda">
    <w:name w:val="annotation reference"/>
    <w:basedOn w:val="Numatytasispastraiposriftas"/>
    <w:uiPriority w:val="99"/>
    <w:semiHidden/>
    <w:unhideWhenUsed/>
    <w:rsid w:val="00AD5A3F"/>
    <w:rPr>
      <w:sz w:val="16"/>
      <w:szCs w:val="16"/>
    </w:rPr>
  </w:style>
  <w:style w:type="paragraph" w:styleId="Komentarotekstas">
    <w:name w:val="annotation text"/>
    <w:basedOn w:val="prastasis"/>
    <w:link w:val="KomentarotekstasDiagrama"/>
    <w:uiPriority w:val="99"/>
    <w:semiHidden/>
    <w:unhideWhenUsed/>
    <w:rsid w:val="00AD5A3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D5A3F"/>
    <w:rPr>
      <w:rFonts w:ascii="Calibri" w:eastAsia="Calibri" w:hAnsi="Calibri" w:cs="Calibri"/>
      <w:sz w:val="20"/>
      <w:szCs w:val="20"/>
      <w:lang w:val="lt-LT"/>
    </w:rPr>
  </w:style>
  <w:style w:type="paragraph" w:styleId="Komentarotema">
    <w:name w:val="annotation subject"/>
    <w:basedOn w:val="Komentarotekstas"/>
    <w:next w:val="Komentarotekstas"/>
    <w:link w:val="KomentarotemaDiagrama"/>
    <w:uiPriority w:val="99"/>
    <w:semiHidden/>
    <w:unhideWhenUsed/>
    <w:rsid w:val="00AD5A3F"/>
    <w:rPr>
      <w:b/>
      <w:bCs/>
    </w:rPr>
  </w:style>
  <w:style w:type="character" w:customStyle="1" w:styleId="KomentarotemaDiagrama">
    <w:name w:val="Komentaro tema Diagrama"/>
    <w:basedOn w:val="KomentarotekstasDiagrama"/>
    <w:link w:val="Komentarotema"/>
    <w:uiPriority w:val="99"/>
    <w:semiHidden/>
    <w:rsid w:val="00AD5A3F"/>
    <w:rPr>
      <w:rFonts w:ascii="Calibri" w:eastAsia="Calibri" w:hAnsi="Calibri" w:cs="Calibri"/>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2FC"/>
    <w:rPr>
      <w:rFonts w:ascii="Calibri" w:eastAsia="Calibri" w:hAnsi="Calibri"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429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2976"/>
    <w:rPr>
      <w:rFonts w:ascii="Tahoma" w:eastAsia="Calibri" w:hAnsi="Tahoma" w:cs="Tahoma"/>
      <w:sz w:val="16"/>
      <w:szCs w:val="16"/>
      <w:lang w:val="lt-LT"/>
    </w:rPr>
  </w:style>
  <w:style w:type="table" w:styleId="Lentelstinklelis">
    <w:name w:val="Table Grid"/>
    <w:basedOn w:val="prastojilentel"/>
    <w:uiPriority w:val="59"/>
    <w:rsid w:val="002E413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E413E"/>
    <w:pPr>
      <w:ind w:left="720"/>
      <w:contextualSpacing/>
    </w:pPr>
  </w:style>
  <w:style w:type="character" w:styleId="Komentaronuoroda">
    <w:name w:val="annotation reference"/>
    <w:basedOn w:val="Numatytasispastraiposriftas"/>
    <w:uiPriority w:val="99"/>
    <w:semiHidden/>
    <w:unhideWhenUsed/>
    <w:rsid w:val="00AD5A3F"/>
    <w:rPr>
      <w:sz w:val="16"/>
      <w:szCs w:val="16"/>
    </w:rPr>
  </w:style>
  <w:style w:type="paragraph" w:styleId="Komentarotekstas">
    <w:name w:val="annotation text"/>
    <w:basedOn w:val="prastasis"/>
    <w:link w:val="KomentarotekstasDiagrama"/>
    <w:uiPriority w:val="99"/>
    <w:semiHidden/>
    <w:unhideWhenUsed/>
    <w:rsid w:val="00AD5A3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D5A3F"/>
    <w:rPr>
      <w:rFonts w:ascii="Calibri" w:eastAsia="Calibri" w:hAnsi="Calibri" w:cs="Calibri"/>
      <w:sz w:val="20"/>
      <w:szCs w:val="20"/>
      <w:lang w:val="lt-LT"/>
    </w:rPr>
  </w:style>
  <w:style w:type="paragraph" w:styleId="Komentarotema">
    <w:name w:val="annotation subject"/>
    <w:basedOn w:val="Komentarotekstas"/>
    <w:next w:val="Komentarotekstas"/>
    <w:link w:val="KomentarotemaDiagrama"/>
    <w:uiPriority w:val="99"/>
    <w:semiHidden/>
    <w:unhideWhenUsed/>
    <w:rsid w:val="00AD5A3F"/>
    <w:rPr>
      <w:b/>
      <w:bCs/>
    </w:rPr>
  </w:style>
  <w:style w:type="character" w:customStyle="1" w:styleId="KomentarotemaDiagrama">
    <w:name w:val="Komentaro tema Diagrama"/>
    <w:basedOn w:val="KomentarotekstasDiagrama"/>
    <w:link w:val="Komentarotema"/>
    <w:uiPriority w:val="99"/>
    <w:semiHidden/>
    <w:rsid w:val="00AD5A3F"/>
    <w:rPr>
      <w:rFonts w:ascii="Calibri" w:eastAsia="Calibri" w:hAnsi="Calibri" w:cs="Calibri"/>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60C3-FBE1-4D1B-8121-9429FD48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2763</Words>
  <Characters>1576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 Rostlund</dc:creator>
  <cp:lastModifiedBy>Birutė Vaitkutė</cp:lastModifiedBy>
  <cp:revision>2</cp:revision>
  <dcterms:created xsi:type="dcterms:W3CDTF">2016-05-18T06:08:00Z</dcterms:created>
  <dcterms:modified xsi:type="dcterms:W3CDTF">2016-05-18T06:08:00Z</dcterms:modified>
</cp:coreProperties>
</file>