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BA" w:rsidRPr="00FE59C6" w:rsidRDefault="00F916BA" w:rsidP="00FE23B1">
      <w:pPr>
        <w:jc w:val="center"/>
        <w:rPr>
          <w:b/>
          <w:lang w:val="en-US"/>
        </w:rPr>
      </w:pPr>
      <w:r w:rsidRPr="00FE59C6">
        <w:rPr>
          <w:b/>
          <w:lang w:val="en-US"/>
        </w:rPr>
        <w:t>THE RESULTS OF EVALUATING THE C</w:t>
      </w:r>
      <w:r>
        <w:rPr>
          <w:b/>
          <w:lang w:val="en-US"/>
        </w:rPr>
        <w:t xml:space="preserve">OMPLIANCE OF </w:t>
      </w:r>
      <w:smartTag w:uri="urn:schemas-microsoft-com:office:smarttags" w:element="City">
        <w:r w:rsidRPr="00FE23B1">
          <w:rPr>
            <w:b/>
            <w:color w:val="FF0000"/>
            <w:lang w:val="en-US"/>
          </w:rPr>
          <w:t>Vilnius</w:t>
        </w:r>
      </w:smartTag>
      <w:r w:rsidRPr="00FE23B1">
        <w:rPr>
          <w:b/>
          <w:color w:val="FF0000"/>
          <w:lang w:val="en-US"/>
        </w:rPr>
        <w:t xml:space="preserve"> Pedagogical University (</w:t>
      </w:r>
      <w:smartTag w:uri="urn:schemas-microsoft-com:office:smarttags" w:element="place">
        <w:smartTag w:uri="urn:schemas-microsoft-com:office:smarttags" w:element="PlaceName">
          <w:r w:rsidRPr="00FE23B1">
            <w:rPr>
              <w:b/>
              <w:color w:val="FF0000"/>
              <w:lang w:val="en-US"/>
            </w:rPr>
            <w:t>Lithuanian</w:t>
          </w:r>
        </w:smartTag>
        <w:r w:rsidRPr="00FE23B1">
          <w:rPr>
            <w:b/>
            <w:color w:val="FF0000"/>
            <w:lang w:val="en-US"/>
          </w:rPr>
          <w:t xml:space="preserve"> </w:t>
        </w:r>
        <w:smartTag w:uri="urn:schemas-microsoft-com:office:smarttags" w:element="PlaceType">
          <w:r w:rsidRPr="00FE23B1">
            <w:rPr>
              <w:b/>
              <w:color w:val="FF0000"/>
              <w:lang w:val="en-US"/>
            </w:rPr>
            <w:t>University</w:t>
          </w:r>
        </w:smartTag>
      </w:smartTag>
      <w:r w:rsidRPr="00FE23B1">
        <w:rPr>
          <w:b/>
          <w:color w:val="FF0000"/>
          <w:lang w:val="en-US"/>
        </w:rPr>
        <w:t xml:space="preserve"> of Educational Sciences</w:t>
      </w:r>
      <w:r>
        <w:rPr>
          <w:b/>
          <w:lang w:val="en-US"/>
        </w:rPr>
        <w:t xml:space="preserve">) </w:t>
      </w:r>
      <w:r w:rsidRPr="00FE59C6">
        <w:rPr>
          <w:b/>
          <w:lang w:val="en-US"/>
        </w:rPr>
        <w:t xml:space="preserve">LEARNING RESOURCES FOR MINIMAL QUALITY REQUIREMENTS FOR THE </w:t>
      </w:r>
      <w:r w:rsidRPr="00FE59C6">
        <w:rPr>
          <w:b/>
          <w:iCs/>
          <w:lang w:val="en-US"/>
        </w:rPr>
        <w:t>ASSOCIATED</w:t>
      </w:r>
      <w:r w:rsidRPr="00FE59C6">
        <w:rPr>
          <w:b/>
          <w:lang w:val="en-US"/>
        </w:rPr>
        <w:t xml:space="preserve"> INFRASTRUCTURE AND ORGANISATION OF HIGHER EDUCATION STUDIES</w:t>
      </w:r>
    </w:p>
    <w:p w:rsidR="00F916BA" w:rsidRPr="00FE59C6" w:rsidRDefault="00F916BA" w:rsidP="00FE23B1">
      <w:pPr>
        <w:jc w:val="both"/>
        <w:rPr>
          <w:lang w:val="en-US"/>
        </w:rPr>
      </w:pPr>
    </w:p>
    <w:p w:rsidR="00F916BA" w:rsidRPr="00DD2D43" w:rsidRDefault="00F916BA" w:rsidP="00FE23B1">
      <w:pPr>
        <w:ind w:left="851"/>
        <w:jc w:val="center"/>
        <w:rPr>
          <w:rFonts w:ascii="Times New Roman" w:hAnsi="Times New Roman"/>
          <w:b/>
          <w:color w:val="000000"/>
          <w:sz w:val="20"/>
          <w:szCs w:val="20"/>
          <w:lang w:eastAsia="lt-LT"/>
        </w:rPr>
      </w:pPr>
    </w:p>
    <w:p w:rsidR="00F916BA" w:rsidRPr="00FE59C6" w:rsidRDefault="00F916BA" w:rsidP="001C197B">
      <w:pPr>
        <w:numPr>
          <w:ilvl w:val="0"/>
          <w:numId w:val="17"/>
        </w:numPr>
        <w:tabs>
          <w:tab w:val="clear" w:pos="3960"/>
        </w:tabs>
        <w:ind w:left="3600" w:hanging="360"/>
        <w:rPr>
          <w:b/>
          <w:lang w:val="en-US"/>
        </w:rPr>
      </w:pPr>
      <w:r w:rsidRPr="00FE59C6">
        <w:rPr>
          <w:b/>
          <w:lang w:val="en-US"/>
        </w:rPr>
        <w:t>GENERAL PROVISIONS</w:t>
      </w:r>
    </w:p>
    <w:p w:rsidR="00F916BA" w:rsidRPr="00977E29" w:rsidRDefault="00F916BA" w:rsidP="00FE23B1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916BA" w:rsidRPr="00977E29" w:rsidRDefault="00F916BA" w:rsidP="00FE23B1">
      <w:pPr>
        <w:ind w:firstLine="737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977E29">
        <w:rPr>
          <w:rFonts w:ascii="Arial" w:hAnsi="Arial" w:cs="Arial"/>
          <w:iCs/>
          <w:sz w:val="20"/>
          <w:szCs w:val="20"/>
          <w:lang w:val="en-US"/>
        </w:rPr>
        <w:t>The evaluation of c</w:t>
      </w:r>
      <w:r w:rsidRPr="00977E29">
        <w:rPr>
          <w:rFonts w:ascii="Arial" w:hAnsi="Arial" w:cs="Arial"/>
          <w:sz w:val="20"/>
          <w:szCs w:val="20"/>
          <w:lang w:val="en-US"/>
        </w:rPr>
        <w:t>ompliance of the</w:t>
      </w:r>
      <w:r w:rsidRPr="00977E29">
        <w:rPr>
          <w:rFonts w:ascii="Arial" w:hAnsi="Arial" w:cs="Arial"/>
          <w:iCs/>
          <w:sz w:val="20"/>
          <w:szCs w:val="20"/>
          <w:lang w:val="en-US"/>
        </w:rPr>
        <w:t xml:space="preserve"> Learning Resources and Associated Infrastructure</w:t>
      </w:r>
      <w:r w:rsidRPr="00977E29">
        <w:rPr>
          <w:rFonts w:ascii="Arial" w:hAnsi="Arial" w:cs="Arial"/>
          <w:sz w:val="20"/>
          <w:szCs w:val="20"/>
          <w:lang w:val="en-US"/>
        </w:rPr>
        <w:t xml:space="preserve"> resources with the minimum quality requirements of </w:t>
      </w:r>
      <w:r w:rsidRPr="00977E29">
        <w:rPr>
          <w:rFonts w:ascii="Arial" w:hAnsi="Arial" w:cs="Arial"/>
          <w:b/>
          <w:sz w:val="20"/>
          <w:szCs w:val="20"/>
          <w:lang w:val="en-US"/>
        </w:rPr>
        <w:t xml:space="preserve">Lithuanian </w:t>
      </w:r>
      <w:r>
        <w:rPr>
          <w:rFonts w:ascii="Arial" w:hAnsi="Arial" w:cs="Arial"/>
          <w:b/>
          <w:sz w:val="20"/>
          <w:szCs w:val="20"/>
          <w:lang w:val="en-US"/>
        </w:rPr>
        <w:t>University of Educational Sciences</w:t>
      </w:r>
      <w:r w:rsidRPr="00977E29">
        <w:rPr>
          <w:rFonts w:ascii="Arial" w:hAnsi="Arial" w:cs="Arial"/>
          <w:iCs/>
          <w:sz w:val="20"/>
          <w:szCs w:val="20"/>
          <w:lang w:val="en-US"/>
        </w:rPr>
        <w:t xml:space="preserve"> was performed on September-October, 2011. The resource evaluation areas were as follows:</w:t>
      </w:r>
    </w:p>
    <w:p w:rsidR="00F916BA" w:rsidRPr="00977E29" w:rsidRDefault="00F916BA" w:rsidP="00FE23B1">
      <w:pPr>
        <w:numPr>
          <w:ilvl w:val="0"/>
          <w:numId w:val="13"/>
        </w:numPr>
        <w:ind w:firstLine="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977E29">
        <w:rPr>
          <w:rFonts w:ascii="Arial" w:hAnsi="Arial" w:cs="Arial"/>
          <w:iCs/>
          <w:sz w:val="20"/>
          <w:szCs w:val="20"/>
          <w:lang w:val="en-US"/>
        </w:rPr>
        <w:t>Adequacy and availability of learning resources and associated infrastructure;</w:t>
      </w:r>
    </w:p>
    <w:p w:rsidR="00F916BA" w:rsidRPr="00977E29" w:rsidRDefault="00F916BA" w:rsidP="00FE23B1">
      <w:pPr>
        <w:numPr>
          <w:ilvl w:val="0"/>
          <w:numId w:val="13"/>
        </w:numPr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iCs/>
          <w:sz w:val="20"/>
          <w:szCs w:val="20"/>
          <w:lang w:val="en-US"/>
        </w:rPr>
        <w:t>Composition and qualification of the teaching and administrative staff;</w:t>
      </w:r>
    </w:p>
    <w:p w:rsidR="00F916BA" w:rsidRPr="00977E29" w:rsidRDefault="00F916BA" w:rsidP="00FE23B1">
      <w:pPr>
        <w:numPr>
          <w:ilvl w:val="0"/>
          <w:numId w:val="13"/>
        </w:numPr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iCs/>
          <w:sz w:val="20"/>
          <w:szCs w:val="20"/>
          <w:lang w:val="en-US"/>
        </w:rPr>
        <w:t>Prior academic preparedness and motivation of entrants and changes in the number of students;</w:t>
      </w:r>
    </w:p>
    <w:p w:rsidR="00F916BA" w:rsidRPr="00977E29" w:rsidRDefault="00F916BA" w:rsidP="00FE23B1">
      <w:pPr>
        <w:numPr>
          <w:ilvl w:val="0"/>
          <w:numId w:val="13"/>
        </w:numPr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iCs/>
          <w:sz w:val="20"/>
          <w:szCs w:val="20"/>
          <w:lang w:val="en-US"/>
        </w:rPr>
        <w:t xml:space="preserve">Efficiency of the use of funds allocated from the state budget.  </w:t>
      </w:r>
    </w:p>
    <w:p w:rsidR="00F916BA" w:rsidRPr="00977E29" w:rsidRDefault="00F916BA" w:rsidP="00FE23B1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F916BA" w:rsidRPr="00977E29" w:rsidRDefault="00F916BA" w:rsidP="00FE23B1">
      <w:pPr>
        <w:ind w:firstLine="737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977E29">
        <w:rPr>
          <w:rFonts w:ascii="Arial" w:hAnsi="Arial" w:cs="Arial"/>
          <w:iCs/>
          <w:sz w:val="20"/>
          <w:szCs w:val="20"/>
          <w:lang w:val="en-US"/>
        </w:rPr>
        <w:t>The period and range for calculating the learning resources at Higher Education Institution were:</w:t>
      </w:r>
    </w:p>
    <w:p w:rsidR="00F916BA" w:rsidRPr="00977E29" w:rsidRDefault="00F916BA" w:rsidP="00FE23B1">
      <w:pPr>
        <w:numPr>
          <w:ilvl w:val="0"/>
          <w:numId w:val="14"/>
        </w:numPr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sz w:val="20"/>
          <w:szCs w:val="20"/>
          <w:lang w:val="en-US"/>
        </w:rPr>
        <w:t>From 1</w:t>
      </w:r>
      <w:r w:rsidRPr="00977E29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977E29">
        <w:rPr>
          <w:rFonts w:ascii="Arial" w:hAnsi="Arial" w:cs="Arial"/>
          <w:sz w:val="20"/>
          <w:szCs w:val="20"/>
          <w:lang w:val="en-US"/>
        </w:rPr>
        <w:t xml:space="preserve"> January 2008 to 31</w:t>
      </w:r>
      <w:r w:rsidRPr="00977E29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977E29">
        <w:rPr>
          <w:rFonts w:ascii="Arial" w:hAnsi="Arial" w:cs="Arial"/>
          <w:sz w:val="20"/>
          <w:szCs w:val="20"/>
          <w:lang w:val="en-US"/>
        </w:rPr>
        <w:t xml:space="preserve"> December 2008, except indicators of renovation of buildings and premises; </w:t>
      </w:r>
      <w:r w:rsidRPr="00977E29">
        <w:rPr>
          <w:rFonts w:ascii="Arial" w:hAnsi="Arial" w:cs="Arial"/>
          <w:bCs/>
          <w:sz w:val="20"/>
          <w:szCs w:val="20"/>
          <w:lang w:val="en-US"/>
        </w:rPr>
        <w:t>Financial funds for studies per student in a study field; Cut-off mark for gaining admission to a higher education institution by study subject area;</w:t>
      </w:r>
    </w:p>
    <w:p w:rsidR="00F916BA" w:rsidRPr="00977E29" w:rsidRDefault="00F916BA" w:rsidP="00FE23B1">
      <w:pPr>
        <w:numPr>
          <w:ilvl w:val="0"/>
          <w:numId w:val="14"/>
        </w:numPr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bCs/>
          <w:sz w:val="20"/>
          <w:szCs w:val="20"/>
          <w:lang w:val="en-US"/>
        </w:rPr>
        <w:t>From 1</w:t>
      </w:r>
      <w:r w:rsidRPr="00977E29">
        <w:rPr>
          <w:rFonts w:ascii="Arial" w:hAnsi="Arial" w:cs="Arial"/>
          <w:bCs/>
          <w:sz w:val="20"/>
          <w:szCs w:val="20"/>
          <w:vertAlign w:val="superscript"/>
          <w:lang w:val="en-US"/>
        </w:rPr>
        <w:t>st</w:t>
      </w:r>
      <w:r w:rsidRPr="00977E29">
        <w:rPr>
          <w:rFonts w:ascii="Arial" w:hAnsi="Arial" w:cs="Arial"/>
          <w:bCs/>
          <w:sz w:val="20"/>
          <w:szCs w:val="20"/>
          <w:lang w:val="en-US"/>
        </w:rPr>
        <w:t xml:space="preserve"> January 2009 to 31</w:t>
      </w:r>
      <w:r w:rsidRPr="00977E29">
        <w:rPr>
          <w:rFonts w:ascii="Arial" w:hAnsi="Arial" w:cs="Arial"/>
          <w:bCs/>
          <w:sz w:val="20"/>
          <w:szCs w:val="20"/>
          <w:vertAlign w:val="superscript"/>
          <w:lang w:val="en-US"/>
        </w:rPr>
        <w:t>st</w:t>
      </w:r>
      <w:r w:rsidRPr="00977E29">
        <w:rPr>
          <w:rFonts w:ascii="Arial" w:hAnsi="Arial" w:cs="Arial"/>
          <w:bCs/>
          <w:sz w:val="20"/>
          <w:szCs w:val="20"/>
          <w:lang w:val="en-US"/>
        </w:rPr>
        <w:t xml:space="preserve"> December 2009, except indicator of </w:t>
      </w:r>
      <w:r w:rsidRPr="00977E29">
        <w:rPr>
          <w:rFonts w:ascii="Arial" w:hAnsi="Arial" w:cs="Arial"/>
          <w:sz w:val="20"/>
          <w:szCs w:val="20"/>
          <w:lang w:val="en-US"/>
        </w:rPr>
        <w:t>renovation of buildings and premises;</w:t>
      </w:r>
      <w:r w:rsidRPr="00977E29">
        <w:rPr>
          <w:rFonts w:ascii="Arial" w:hAnsi="Arial" w:cs="Arial"/>
          <w:sz w:val="20"/>
          <w:szCs w:val="20"/>
        </w:rPr>
        <w:t xml:space="preserve"> </w:t>
      </w:r>
    </w:p>
    <w:p w:rsidR="00F916BA" w:rsidRDefault="00F916BA" w:rsidP="00FE23B1">
      <w:pPr>
        <w:numPr>
          <w:ilvl w:val="0"/>
          <w:numId w:val="14"/>
        </w:numPr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bCs/>
          <w:sz w:val="20"/>
          <w:szCs w:val="20"/>
          <w:lang w:val="en-US"/>
        </w:rPr>
        <w:t>From 1</w:t>
      </w:r>
      <w:r w:rsidRPr="00977E29">
        <w:rPr>
          <w:rFonts w:ascii="Arial" w:hAnsi="Arial" w:cs="Arial"/>
          <w:bCs/>
          <w:sz w:val="20"/>
          <w:szCs w:val="20"/>
          <w:vertAlign w:val="superscript"/>
          <w:lang w:val="en-US"/>
        </w:rPr>
        <w:t>st</w:t>
      </w:r>
      <w:r w:rsidRPr="00977E29">
        <w:rPr>
          <w:rFonts w:ascii="Arial" w:hAnsi="Arial" w:cs="Arial"/>
          <w:bCs/>
          <w:sz w:val="20"/>
          <w:szCs w:val="20"/>
          <w:lang w:val="en-US"/>
        </w:rPr>
        <w:t xml:space="preserve"> January 2010 to 31</w:t>
      </w:r>
      <w:r w:rsidRPr="00977E29">
        <w:rPr>
          <w:rFonts w:ascii="Arial" w:hAnsi="Arial" w:cs="Arial"/>
          <w:bCs/>
          <w:sz w:val="20"/>
          <w:szCs w:val="20"/>
          <w:vertAlign w:val="superscript"/>
          <w:lang w:val="en-US"/>
        </w:rPr>
        <w:t>st</w:t>
      </w:r>
      <w:r w:rsidRPr="00977E29">
        <w:rPr>
          <w:rFonts w:ascii="Arial" w:hAnsi="Arial" w:cs="Arial"/>
          <w:bCs/>
          <w:sz w:val="20"/>
          <w:szCs w:val="20"/>
          <w:lang w:val="en-US"/>
        </w:rPr>
        <w:t xml:space="preserve"> December 2010, except indicator of </w:t>
      </w:r>
      <w:r w:rsidRPr="00977E29">
        <w:rPr>
          <w:rFonts w:ascii="Arial" w:hAnsi="Arial" w:cs="Arial"/>
          <w:sz w:val="20"/>
          <w:szCs w:val="20"/>
          <w:lang w:val="en-US"/>
        </w:rPr>
        <w:t>renovation of buildings and premises.</w:t>
      </w:r>
    </w:p>
    <w:p w:rsidR="00F916BA" w:rsidRPr="00977E29" w:rsidRDefault="00F916BA" w:rsidP="00FE23B1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F916BA" w:rsidRPr="00977E29" w:rsidRDefault="00F916BA" w:rsidP="00FE23B1">
      <w:pPr>
        <w:pStyle w:val="tekstas"/>
        <w:rPr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sz w:val="20"/>
          <w:szCs w:val="20"/>
          <w:lang w:val="en-US"/>
        </w:rPr>
        <w:t xml:space="preserve">According to the 2.2 clause of the Order No V-1170 of 1 July 2011 of the Minister for Education and Science of the </w:t>
      </w:r>
      <w:smartTag w:uri="urn:schemas-microsoft-com:office:smarttags" w:element="PlaceType">
        <w:smartTag w:uri="urn:schemas-microsoft-com:office:smarttags" w:element="place">
          <w:r w:rsidRPr="00977E29">
            <w:rPr>
              <w:rFonts w:ascii="Arial" w:hAnsi="Arial" w:cs="Arial"/>
              <w:sz w:val="20"/>
              <w:szCs w:val="20"/>
              <w:lang w:val="en-US"/>
            </w:rPr>
            <w:t>Republic</w:t>
          </w:r>
        </w:smartTag>
        <w:r w:rsidRPr="00977E29">
          <w:rPr>
            <w:rFonts w:ascii="Arial" w:hAnsi="Arial" w:cs="Arial"/>
            <w:sz w:val="20"/>
            <w:szCs w:val="20"/>
            <w:lang w:val="en-US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 w:rsidRPr="00977E29">
              <w:rPr>
                <w:rFonts w:ascii="Arial" w:hAnsi="Arial" w:cs="Arial"/>
                <w:sz w:val="20"/>
                <w:szCs w:val="20"/>
                <w:lang w:val="en-US"/>
              </w:rPr>
              <w:t>Lithuania</w:t>
            </w:r>
          </w:smartTag>
        </w:smartTag>
      </w:smartTag>
      <w:r w:rsidRPr="00977E29">
        <w:rPr>
          <w:rFonts w:ascii="Arial" w:hAnsi="Arial" w:cs="Arial"/>
          <w:sz w:val="20"/>
          <w:szCs w:val="20"/>
          <w:lang w:val="en-US"/>
        </w:rPr>
        <w:t>, the compliance of learning resources in the field of research, applied research and professional art activity were not evaluated.</w:t>
      </w:r>
    </w:p>
    <w:p w:rsidR="00F916BA" w:rsidRDefault="00F916BA" w:rsidP="00FE23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F916BA" w:rsidRPr="00977E29" w:rsidRDefault="00F916BA" w:rsidP="00FE23B1">
      <w:pPr>
        <w:autoSpaceDE w:val="0"/>
        <w:autoSpaceDN w:val="0"/>
        <w:adjustRightInd w:val="0"/>
        <w:ind w:firstLine="720"/>
        <w:jc w:val="both"/>
        <w:rPr>
          <w:rStyle w:val="st1"/>
          <w:rFonts w:ascii="Arial" w:hAnsi="Arial" w:cs="Arial"/>
          <w:sz w:val="20"/>
          <w:szCs w:val="20"/>
          <w:lang w:val="en-US"/>
        </w:rPr>
      </w:pPr>
      <w:r w:rsidRPr="00977E29">
        <w:rPr>
          <w:rFonts w:ascii="Arial" w:hAnsi="Arial" w:cs="Arial"/>
          <w:bCs/>
          <w:sz w:val="20"/>
          <w:szCs w:val="20"/>
          <w:lang w:val="en-US"/>
        </w:rPr>
        <w:t xml:space="preserve">For the purpose of calculating the results of learning resources, the data received from Higher education institution for 2008, 2009, 2010, as well as official statistical data received from </w:t>
      </w:r>
      <w:r w:rsidRPr="00977E29">
        <w:rPr>
          <w:rFonts w:ascii="Arial" w:hAnsi="Arial" w:cs="Arial"/>
          <w:sz w:val="20"/>
          <w:szCs w:val="20"/>
          <w:lang w:val="en-US"/>
        </w:rPr>
        <w:t xml:space="preserve">The Lithuanian Department of Statistics, The Lithuanian Labour Exchange and </w:t>
      </w:r>
      <w:r w:rsidRPr="00977E29">
        <w:rPr>
          <w:rStyle w:val="st1"/>
          <w:rFonts w:ascii="Arial" w:hAnsi="Arial" w:cs="Arial"/>
          <w:sz w:val="20"/>
          <w:szCs w:val="20"/>
          <w:lang w:val="en-US"/>
        </w:rPr>
        <w:t xml:space="preserve">the </w:t>
      </w:r>
      <w:r w:rsidRPr="00977E29">
        <w:rPr>
          <w:rStyle w:val="st1"/>
          <w:rFonts w:ascii="Arial" w:hAnsi="Arial" w:cs="Arial"/>
          <w:bCs/>
          <w:sz w:val="20"/>
          <w:szCs w:val="20"/>
          <w:lang w:val="en-US"/>
        </w:rPr>
        <w:t>Association</w:t>
      </w:r>
      <w:r w:rsidRPr="00977E29">
        <w:rPr>
          <w:rStyle w:val="st1"/>
          <w:rFonts w:ascii="Arial" w:hAnsi="Arial" w:cs="Arial"/>
          <w:sz w:val="20"/>
          <w:szCs w:val="20"/>
          <w:lang w:val="en-US"/>
        </w:rPr>
        <w:t xml:space="preserve"> of </w:t>
      </w:r>
      <w:r w:rsidRPr="00977E29">
        <w:rPr>
          <w:rStyle w:val="st1"/>
          <w:rFonts w:ascii="Arial" w:hAnsi="Arial" w:cs="Arial"/>
          <w:bCs/>
          <w:sz w:val="20"/>
          <w:szCs w:val="20"/>
          <w:lang w:val="en-US"/>
        </w:rPr>
        <w:t>Lithuanian Higher Education</w:t>
      </w:r>
      <w:r w:rsidRPr="00977E29">
        <w:rPr>
          <w:rStyle w:val="st1"/>
          <w:rFonts w:ascii="Arial" w:hAnsi="Arial" w:cs="Arial"/>
          <w:sz w:val="20"/>
          <w:szCs w:val="20"/>
          <w:lang w:val="en-US"/>
        </w:rPr>
        <w:t xml:space="preserve"> Institutions for common </w:t>
      </w:r>
      <w:r w:rsidRPr="00977E29">
        <w:rPr>
          <w:rStyle w:val="st1"/>
          <w:rFonts w:ascii="Arial" w:hAnsi="Arial" w:cs="Arial"/>
          <w:bCs/>
          <w:sz w:val="20"/>
          <w:szCs w:val="20"/>
          <w:lang w:val="en-US"/>
        </w:rPr>
        <w:t>admission</w:t>
      </w:r>
      <w:r w:rsidRPr="00977E29">
        <w:rPr>
          <w:rStyle w:val="st1"/>
          <w:rFonts w:ascii="Arial" w:hAnsi="Arial" w:cs="Arial"/>
          <w:sz w:val="20"/>
          <w:szCs w:val="20"/>
          <w:lang w:val="en-US"/>
        </w:rPr>
        <w:t xml:space="preserve"> organisation (</w:t>
      </w:r>
      <w:r w:rsidRPr="00977E29">
        <w:rPr>
          <w:rStyle w:val="st1"/>
          <w:rFonts w:ascii="Arial" w:hAnsi="Arial" w:cs="Arial"/>
          <w:bCs/>
          <w:sz w:val="20"/>
          <w:szCs w:val="20"/>
          <w:lang w:val="en-US"/>
        </w:rPr>
        <w:t>LAMA</w:t>
      </w:r>
      <w:r w:rsidRPr="00977E29">
        <w:rPr>
          <w:rStyle w:val="st1"/>
          <w:rFonts w:ascii="Arial" w:hAnsi="Arial" w:cs="Arial"/>
          <w:sz w:val="20"/>
          <w:szCs w:val="20"/>
          <w:lang w:val="en-US"/>
        </w:rPr>
        <w:t xml:space="preserve"> BPO) were used.</w:t>
      </w:r>
    </w:p>
    <w:p w:rsidR="00F916BA" w:rsidRDefault="00F916BA" w:rsidP="001C197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977E29">
        <w:rPr>
          <w:rStyle w:val="st1"/>
          <w:rFonts w:ascii="Arial" w:hAnsi="Arial" w:cs="Arial"/>
          <w:sz w:val="20"/>
          <w:szCs w:val="20"/>
          <w:lang w:val="en-US"/>
        </w:rPr>
        <w:t xml:space="preserve">According to Methodology for evaluating the learning resources and associated infrastructure of higher education institutions, approved by the Order </w:t>
      </w:r>
      <w:r w:rsidRPr="00977E29">
        <w:rPr>
          <w:rFonts w:ascii="Arial" w:hAnsi="Arial" w:cs="Arial"/>
          <w:sz w:val="20"/>
          <w:szCs w:val="20"/>
          <w:lang w:val="en-US"/>
        </w:rPr>
        <w:t xml:space="preserve">No V-1170 of 1 July 2011 of the Minister for Education and Science of the </w:t>
      </w:r>
      <w:smartTag w:uri="urn:schemas-microsoft-com:office:smarttags" w:element="PlaceType">
        <w:smartTag w:uri="urn:schemas-microsoft-com:office:smarttags" w:element="place">
          <w:r w:rsidRPr="00977E29">
            <w:rPr>
              <w:rFonts w:ascii="Arial" w:hAnsi="Arial" w:cs="Arial"/>
              <w:sz w:val="20"/>
              <w:szCs w:val="20"/>
              <w:lang w:val="en-US"/>
            </w:rPr>
            <w:t>Republic</w:t>
          </w:r>
        </w:smartTag>
        <w:r w:rsidRPr="00977E29">
          <w:rPr>
            <w:rFonts w:ascii="Arial" w:hAnsi="Arial" w:cs="Arial"/>
            <w:sz w:val="20"/>
            <w:szCs w:val="20"/>
            <w:lang w:val="en-US"/>
          </w:rPr>
          <w:t xml:space="preserve"> of </w:t>
        </w:r>
        <w:smartTag w:uri="urn:schemas-microsoft-com:office:smarttags" w:element="PlaceType">
          <w:smartTag w:uri="urn:schemas-microsoft-com:office:smarttags" w:element="PlaceName">
            <w:r w:rsidRPr="00977E29">
              <w:rPr>
                <w:rFonts w:ascii="Arial" w:hAnsi="Arial" w:cs="Arial"/>
                <w:sz w:val="20"/>
                <w:szCs w:val="20"/>
                <w:lang w:val="en-US"/>
              </w:rPr>
              <w:t>Lithuania</w:t>
            </w:r>
          </w:smartTag>
        </w:smartTag>
      </w:smartTag>
      <w:r w:rsidRPr="00977E29">
        <w:rPr>
          <w:rFonts w:ascii="Arial" w:hAnsi="Arial" w:cs="Arial"/>
          <w:sz w:val="20"/>
          <w:szCs w:val="20"/>
          <w:lang w:val="en-US"/>
        </w:rPr>
        <w:t>, the analysis of learning resources was made by the Research and Higher Education Monitoring and Analysis Centre (MOSTA)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916BA" w:rsidRDefault="00F916BA" w:rsidP="00FE23B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F916BA" w:rsidRPr="00FE59C6" w:rsidRDefault="00F916BA" w:rsidP="001C197B">
      <w:pPr>
        <w:numPr>
          <w:ilvl w:val="0"/>
          <w:numId w:val="15"/>
        </w:numPr>
        <w:tabs>
          <w:tab w:val="clear" w:pos="3960"/>
          <w:tab w:val="num" w:pos="3780"/>
        </w:tabs>
        <w:ind w:left="3780" w:hanging="360"/>
        <w:rPr>
          <w:b/>
          <w:lang w:val="en-US"/>
        </w:rPr>
      </w:pPr>
      <w:r w:rsidRPr="00FE59C6">
        <w:rPr>
          <w:b/>
          <w:lang w:val="en-US"/>
        </w:rPr>
        <w:t>THE RESULTS OF LEARNING RESOURCES FOR THE YEARS OF 2008, 2009 AND 2010</w:t>
      </w:r>
    </w:p>
    <w:p w:rsidR="00F916BA" w:rsidRPr="00FE59C6" w:rsidRDefault="00F916BA" w:rsidP="00A55A87">
      <w:pPr>
        <w:ind w:left="360"/>
        <w:rPr>
          <w:b/>
          <w:lang w:val="en-US"/>
        </w:rPr>
      </w:pPr>
    </w:p>
    <w:p w:rsidR="00F916BA" w:rsidRPr="00FE59C6" w:rsidRDefault="00F916BA" w:rsidP="00A55A87">
      <w:pPr>
        <w:ind w:firstLine="851"/>
        <w:jc w:val="both"/>
        <w:rPr>
          <w:lang w:val="en-US"/>
        </w:rPr>
      </w:pPr>
      <w:r w:rsidRPr="00FE59C6">
        <w:rPr>
          <w:lang w:val="en-US"/>
        </w:rPr>
        <w:t xml:space="preserve">The results of the values of Learning resources indicators are added as the appendix 1 ‘Indicators of the resources of a higher education institution’. According to them, </w:t>
      </w:r>
      <w:r>
        <w:rPr>
          <w:lang w:val="en-US"/>
        </w:rPr>
        <w:t xml:space="preserve">in table 1 </w:t>
      </w:r>
      <w:r w:rsidRPr="00FE59C6">
        <w:rPr>
          <w:lang w:val="en-US"/>
        </w:rPr>
        <w:t>you can find the results of each evaluation area</w:t>
      </w:r>
      <w:r>
        <w:rPr>
          <w:lang w:val="en-US"/>
        </w:rPr>
        <w:t xml:space="preserve"> compliance for minimal </w:t>
      </w:r>
      <w:r w:rsidRPr="00FE59C6">
        <w:rPr>
          <w:lang w:val="en-US"/>
        </w:rPr>
        <w:t>requirements fo</w:t>
      </w:r>
      <w:r>
        <w:rPr>
          <w:lang w:val="en-US"/>
        </w:rPr>
        <w:t xml:space="preserve">r the study conditions and </w:t>
      </w:r>
      <w:r w:rsidRPr="00FE59C6">
        <w:rPr>
          <w:lang w:val="en-US"/>
        </w:rPr>
        <w:t xml:space="preserve">organisation </w:t>
      </w:r>
      <w:r>
        <w:rPr>
          <w:lang w:val="en-US"/>
        </w:rPr>
        <w:t xml:space="preserve">quality </w:t>
      </w:r>
      <w:r w:rsidRPr="00FE59C6">
        <w:rPr>
          <w:lang w:val="en-US"/>
        </w:rPr>
        <w:t xml:space="preserve">for the years of 2008, 2009 and 2010. </w:t>
      </w:r>
    </w:p>
    <w:p w:rsidR="00F916BA" w:rsidRPr="00FE59C6" w:rsidRDefault="00F916BA" w:rsidP="00A55A87">
      <w:pPr>
        <w:ind w:firstLine="851"/>
        <w:jc w:val="both"/>
        <w:rPr>
          <w:lang w:val="en-US"/>
        </w:rPr>
      </w:pPr>
      <w:r w:rsidRPr="00FE59C6">
        <w:rPr>
          <w:lang w:val="en-US"/>
        </w:rPr>
        <w:t>The summation of each evaluation area was conducted according to the results of indicators for each evaluation area following the</w:t>
      </w:r>
      <w:r>
        <w:rPr>
          <w:lang w:val="en-US"/>
        </w:rPr>
        <w:t xml:space="preserve"> criteria</w:t>
      </w:r>
      <w:r w:rsidRPr="00FE59C6">
        <w:rPr>
          <w:lang w:val="en-US"/>
        </w:rPr>
        <w:t xml:space="preserve"> set at the Methodology:</w:t>
      </w:r>
    </w:p>
    <w:p w:rsidR="00F916BA" w:rsidRPr="00FE59C6" w:rsidRDefault="00F916BA" w:rsidP="00A55A87">
      <w:pPr>
        <w:ind w:firstLine="851"/>
        <w:jc w:val="both"/>
        <w:rPr>
          <w:lang w:val="en-US"/>
        </w:rPr>
      </w:pPr>
      <w:r w:rsidRPr="00FE59C6">
        <w:rPr>
          <w:lang w:val="en-US"/>
        </w:rPr>
        <w:t>1. Satisfies no less than 60 percent of the requirements in the evaluated area set in Methodology;</w:t>
      </w:r>
    </w:p>
    <w:p w:rsidR="00F916BA" w:rsidRPr="00FE59C6" w:rsidRDefault="00F916BA" w:rsidP="00A55A87">
      <w:pPr>
        <w:ind w:firstLine="851"/>
        <w:jc w:val="both"/>
        <w:rPr>
          <w:lang w:val="en-US"/>
        </w:rPr>
      </w:pPr>
      <w:r w:rsidRPr="00FE59C6">
        <w:rPr>
          <w:lang w:val="en-US"/>
        </w:rPr>
        <w:t>2. Satisfies less than 60 percent of the requirements in the evaluated area set in Methodology.</w:t>
      </w:r>
    </w:p>
    <w:p w:rsidR="00F916BA" w:rsidRDefault="00F916BA" w:rsidP="00A55A87">
      <w:pPr>
        <w:ind w:firstLine="851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916BA" w:rsidRPr="00CC3334" w:rsidRDefault="00F916BA" w:rsidP="001C197B">
      <w:pPr>
        <w:ind w:right="170"/>
        <w:jc w:val="right"/>
        <w:rPr>
          <w:lang w:val="en-US"/>
        </w:rPr>
      </w:pPr>
      <w:r w:rsidRPr="00FE59C6">
        <w:rPr>
          <w:b/>
          <w:lang w:val="en-US"/>
        </w:rPr>
        <w:t>Table No. 1. The elaboration of the compliance for the minimal quality requirements by evaluation areas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3C6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331" w:type="dxa"/>
        <w:jc w:val="center"/>
        <w:tblInd w:w="93" w:type="dxa"/>
        <w:tblLook w:val="00A0"/>
      </w:tblPr>
      <w:tblGrid>
        <w:gridCol w:w="688"/>
        <w:gridCol w:w="666"/>
        <w:gridCol w:w="544"/>
        <w:gridCol w:w="544"/>
        <w:gridCol w:w="544"/>
        <w:gridCol w:w="544"/>
        <w:gridCol w:w="544"/>
        <w:gridCol w:w="544"/>
        <w:gridCol w:w="544"/>
        <w:gridCol w:w="627"/>
        <w:gridCol w:w="544"/>
        <w:gridCol w:w="544"/>
        <w:gridCol w:w="544"/>
        <w:gridCol w:w="544"/>
        <w:gridCol w:w="544"/>
        <w:gridCol w:w="627"/>
        <w:gridCol w:w="750"/>
        <w:gridCol w:w="891"/>
        <w:gridCol w:w="769"/>
        <w:gridCol w:w="986"/>
        <w:gridCol w:w="544"/>
        <w:gridCol w:w="544"/>
        <w:gridCol w:w="711"/>
      </w:tblGrid>
      <w:tr w:rsidR="00F916BA" w:rsidRPr="00965D1B" w:rsidTr="00FD70A2">
        <w:trPr>
          <w:trHeight w:val="870"/>
          <w:tblHeader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HEI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Year</w:t>
            </w:r>
          </w:p>
        </w:tc>
        <w:tc>
          <w:tcPr>
            <w:tcW w:w="44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0A0A6A">
              <w:rPr>
                <w:b/>
                <w:iCs/>
                <w:sz w:val="20"/>
                <w:lang w:val="en-US"/>
              </w:rPr>
              <w:t>Adequacy and availability of learning resources and associated infrastructure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16BA" w:rsidRPr="00A55A87" w:rsidRDefault="00F916BA" w:rsidP="00A55A87">
            <w:pPr>
              <w:ind w:left="13"/>
              <w:jc w:val="center"/>
              <w:rPr>
                <w:b/>
                <w:sz w:val="20"/>
                <w:szCs w:val="20"/>
                <w:lang w:val="en-US"/>
              </w:rPr>
            </w:pPr>
            <w:r w:rsidRPr="000A0A6A">
              <w:rPr>
                <w:b/>
                <w:iCs/>
                <w:sz w:val="20"/>
                <w:szCs w:val="20"/>
                <w:lang w:val="en-US"/>
              </w:rPr>
              <w:t>Composition, structure and qualification of the teaching and administrative staff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0A0A6A">
              <w:rPr>
                <w:b/>
                <w:iCs/>
                <w:sz w:val="20"/>
                <w:szCs w:val="20"/>
                <w:lang w:val="en-US"/>
              </w:rPr>
              <w:t>Prior academic preparedness and motivation of entrants and changes in the number of students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16BA" w:rsidRPr="00A55A87" w:rsidRDefault="00F916BA" w:rsidP="00A55A87">
            <w:pPr>
              <w:ind w:left="23"/>
              <w:jc w:val="center"/>
              <w:rPr>
                <w:b/>
                <w:sz w:val="20"/>
                <w:szCs w:val="20"/>
                <w:lang w:val="en-US"/>
              </w:rPr>
            </w:pPr>
            <w:r w:rsidRPr="000A0A6A">
              <w:rPr>
                <w:b/>
                <w:iCs/>
                <w:sz w:val="20"/>
                <w:szCs w:val="20"/>
                <w:lang w:val="en-US"/>
              </w:rPr>
              <w:t>Efficiency of the use of funds allocated from the state budget</w:t>
            </w:r>
          </w:p>
        </w:tc>
      </w:tr>
      <w:tr w:rsidR="00F916BA" w:rsidRPr="00965D1B" w:rsidTr="00FD70A2">
        <w:trPr>
          <w:trHeight w:val="253"/>
          <w:tblHeader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13.1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13.3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13.4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13.5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13.6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13.7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13.8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Total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15.1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15.2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15.3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15.4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15.5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16.1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16.2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 xml:space="preserve">Total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17.1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17.2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Total</w:t>
            </w:r>
          </w:p>
        </w:tc>
      </w:tr>
      <w:tr w:rsidR="00F916BA" w:rsidRPr="00965D1B" w:rsidTr="00FD70A2">
        <w:trPr>
          <w:trHeight w:val="24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LEU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2008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B328A0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B328A0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B328A0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B328A0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916BA" w:rsidRPr="00CC322C" w:rsidRDefault="00F916BA" w:rsidP="00F2315F">
            <w:pPr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50%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80%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F916BA" w:rsidRPr="00CC322C" w:rsidRDefault="00F916BA" w:rsidP="00F2315F">
            <w:pPr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100%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100%</w:t>
            </w:r>
          </w:p>
        </w:tc>
      </w:tr>
      <w:tr w:rsidR="00F916BA" w:rsidRPr="00965D1B" w:rsidTr="00FD70A2">
        <w:trPr>
          <w:trHeight w:val="24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A" w:rsidRPr="00965D1B" w:rsidRDefault="00F916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LEU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2009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B328A0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B328A0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B328A0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B328A0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57%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80%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vAlign w:val="center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67%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100%</w:t>
            </w:r>
          </w:p>
        </w:tc>
      </w:tr>
      <w:tr w:rsidR="00F916BA" w:rsidRPr="00965D1B" w:rsidTr="00FD70A2">
        <w:trPr>
          <w:trHeight w:val="244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A" w:rsidRPr="00965D1B" w:rsidRDefault="00F916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LEU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2B37F0">
            <w:pPr>
              <w:jc w:val="center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2010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B328A0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B328A0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B328A0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B328A0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8696B"/>
            <w:noWrap/>
            <w:vAlign w:val="center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43%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80%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vAlign w:val="center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67%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F916BA" w:rsidRPr="00CC322C" w:rsidRDefault="00F916BA" w:rsidP="00F2315F">
            <w:pPr>
              <w:jc w:val="right"/>
              <w:rPr>
                <w:rFonts w:ascii="Times New Roman" w:hAnsi="Times New Roman"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6BA" w:rsidRPr="00CC322C" w:rsidRDefault="00F916BA" w:rsidP="00F231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</w:pPr>
            <w:r w:rsidRPr="00CC322C">
              <w:rPr>
                <w:rFonts w:ascii="Times New Roman" w:hAnsi="Times New Roman"/>
                <w:b/>
                <w:bCs/>
                <w:sz w:val="18"/>
                <w:szCs w:val="18"/>
                <w:lang w:eastAsia="lt-LT"/>
              </w:rPr>
              <w:t>100%</w:t>
            </w:r>
          </w:p>
        </w:tc>
      </w:tr>
    </w:tbl>
    <w:p w:rsidR="00F916BA" w:rsidRDefault="00F916BA" w:rsidP="007C7CA7">
      <w:pPr>
        <w:jc w:val="both"/>
        <w:rPr>
          <w:b/>
          <w:lang w:val="en-US"/>
        </w:rPr>
      </w:pPr>
      <w:r w:rsidRPr="00DD2D43">
        <w:rPr>
          <w:rFonts w:ascii="Times New Roman" w:hAnsi="Times New Roman"/>
          <w:b/>
          <w:sz w:val="24"/>
          <w:szCs w:val="24"/>
        </w:rPr>
        <w:t xml:space="preserve">Pastaba: </w:t>
      </w:r>
      <w:r w:rsidRPr="00CC3334">
        <w:rPr>
          <w:b/>
          <w:lang w:val="en-US"/>
        </w:rPr>
        <w:t xml:space="preserve">Note: </w:t>
      </w:r>
      <w:r w:rsidRPr="00CC3334">
        <w:rPr>
          <w:lang w:val="en-US"/>
        </w:rPr>
        <w:t>1/green colour – result meets the requirements, 0/red colour – result does not meet the requirements</w:t>
      </w:r>
      <w:r w:rsidRPr="007C7CA7">
        <w:rPr>
          <w:b/>
          <w:lang w:val="en-US"/>
        </w:rPr>
        <w:t xml:space="preserve"> </w:t>
      </w:r>
    </w:p>
    <w:p w:rsidR="00F916BA" w:rsidRDefault="00F916BA" w:rsidP="007C7CA7">
      <w:pPr>
        <w:jc w:val="both"/>
        <w:rPr>
          <w:b/>
          <w:lang w:val="en-US"/>
        </w:rPr>
      </w:pPr>
    </w:p>
    <w:p w:rsidR="00F916BA" w:rsidRPr="00FE59C6" w:rsidRDefault="00F916BA" w:rsidP="001C197B">
      <w:pPr>
        <w:ind w:left="2688" w:firstLine="732"/>
        <w:rPr>
          <w:b/>
          <w:iCs/>
          <w:lang w:val="en-US"/>
        </w:rPr>
      </w:pPr>
      <w:r>
        <w:rPr>
          <w:b/>
          <w:iCs/>
          <w:lang w:val="en-US"/>
        </w:rPr>
        <w:t xml:space="preserve">II.  </w:t>
      </w:r>
      <w:r w:rsidRPr="00FE59C6">
        <w:rPr>
          <w:b/>
          <w:iCs/>
          <w:lang w:val="en-US"/>
        </w:rPr>
        <w:t>SUMMARY FOR EVALUATION OF LEARNING RESOURCES FOR THE YEARS OF 2008-2010</w:t>
      </w:r>
    </w:p>
    <w:p w:rsidR="00F916BA" w:rsidRPr="00383F40" w:rsidRDefault="00F916BA" w:rsidP="00A124A7">
      <w:pPr>
        <w:pStyle w:val="ListParagraph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F916BA" w:rsidRPr="00B5119D" w:rsidRDefault="00F916BA" w:rsidP="00A124A7">
      <w:pPr>
        <w:jc w:val="both"/>
        <w:rPr>
          <w:lang w:val="en-US"/>
        </w:rPr>
      </w:pPr>
      <w:r w:rsidRPr="00B5119D">
        <w:rPr>
          <w:iCs/>
          <w:lang w:val="en-US"/>
        </w:rPr>
        <w:t xml:space="preserve">To sum the analyzed results up at each evaluation area for the period of 2008-2010, </w:t>
      </w:r>
      <w:r w:rsidRPr="00977E29">
        <w:rPr>
          <w:rFonts w:ascii="Arial" w:hAnsi="Arial" w:cs="Arial"/>
          <w:b/>
          <w:sz w:val="20"/>
          <w:szCs w:val="20"/>
          <w:lang w:val="en-US"/>
        </w:rPr>
        <w:t xml:space="preserve">Lithuanian </w:t>
      </w:r>
      <w:r>
        <w:rPr>
          <w:rFonts w:ascii="Arial" w:hAnsi="Arial" w:cs="Arial"/>
          <w:b/>
          <w:sz w:val="20"/>
          <w:szCs w:val="20"/>
          <w:lang w:val="en-US"/>
        </w:rPr>
        <w:t>University of Educational Sciences</w:t>
      </w:r>
      <w:r w:rsidRPr="00977E2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5119D">
        <w:rPr>
          <w:iCs/>
          <w:lang w:val="en-US"/>
        </w:rPr>
        <w:t xml:space="preserve">meets minimal study conditions and </w:t>
      </w:r>
      <w:r>
        <w:rPr>
          <w:lang w:val="en-US"/>
        </w:rPr>
        <w:t xml:space="preserve">quality requirements by </w:t>
      </w:r>
      <w:r w:rsidRPr="001C197B">
        <w:rPr>
          <w:b/>
          <w:color w:val="FF0000"/>
          <w:lang w:val="en-US"/>
        </w:rPr>
        <w:t>three</w:t>
      </w:r>
      <w:r w:rsidRPr="001C197B">
        <w:rPr>
          <w:b/>
          <w:lang w:val="en-US"/>
        </w:rPr>
        <w:t xml:space="preserve"> </w:t>
      </w:r>
      <w:r w:rsidRPr="00B5119D">
        <w:rPr>
          <w:lang w:val="en-US"/>
        </w:rPr>
        <w:t>evaluation areas:</w:t>
      </w:r>
    </w:p>
    <w:p w:rsidR="00F916BA" w:rsidRPr="00CC3334" w:rsidRDefault="00F916BA" w:rsidP="00A124A7">
      <w:pPr>
        <w:numPr>
          <w:ilvl w:val="0"/>
          <w:numId w:val="16"/>
        </w:numPr>
        <w:tabs>
          <w:tab w:val="clear" w:pos="720"/>
          <w:tab w:val="num" w:pos="900"/>
        </w:tabs>
        <w:ind w:left="900" w:firstLine="0"/>
        <w:jc w:val="both"/>
        <w:rPr>
          <w:lang w:val="en-US"/>
        </w:rPr>
      </w:pPr>
      <w:r w:rsidRPr="00CC3334">
        <w:rPr>
          <w:iCs/>
          <w:lang w:val="en-US"/>
        </w:rPr>
        <w:t>Composition, structure and qualification of the teaching and administrative staff</w:t>
      </w:r>
      <w:r>
        <w:rPr>
          <w:iCs/>
          <w:lang w:val="en-US"/>
        </w:rPr>
        <w:t>;</w:t>
      </w:r>
    </w:p>
    <w:p w:rsidR="00F916BA" w:rsidRPr="00CC3334" w:rsidRDefault="00F916BA" w:rsidP="00A124A7">
      <w:pPr>
        <w:numPr>
          <w:ilvl w:val="0"/>
          <w:numId w:val="16"/>
        </w:numPr>
        <w:tabs>
          <w:tab w:val="clear" w:pos="720"/>
          <w:tab w:val="num" w:pos="900"/>
        </w:tabs>
        <w:ind w:left="900" w:firstLine="0"/>
        <w:jc w:val="both"/>
        <w:rPr>
          <w:lang w:val="en-US"/>
        </w:rPr>
      </w:pPr>
      <w:r w:rsidRPr="00CC3334">
        <w:rPr>
          <w:iCs/>
          <w:lang w:val="en-US"/>
        </w:rPr>
        <w:t>Prior academic preparedness and motivation of entrants and changes in the number of students</w:t>
      </w:r>
      <w:r>
        <w:rPr>
          <w:iCs/>
          <w:lang w:val="en-US"/>
        </w:rPr>
        <w:t>;</w:t>
      </w:r>
    </w:p>
    <w:p w:rsidR="00F916BA" w:rsidRPr="00100010" w:rsidRDefault="00F916BA" w:rsidP="00A124A7">
      <w:pPr>
        <w:numPr>
          <w:ilvl w:val="0"/>
          <w:numId w:val="16"/>
        </w:numPr>
        <w:tabs>
          <w:tab w:val="clear" w:pos="720"/>
          <w:tab w:val="num" w:pos="900"/>
        </w:tabs>
        <w:ind w:left="900" w:firstLine="0"/>
        <w:jc w:val="both"/>
        <w:rPr>
          <w:lang w:val="en-US"/>
        </w:rPr>
      </w:pPr>
      <w:r w:rsidRPr="00CC3334">
        <w:rPr>
          <w:iCs/>
          <w:lang w:val="en-US"/>
        </w:rPr>
        <w:t>Efficiency of the use of funds allocated from the state budget</w:t>
      </w:r>
      <w:r>
        <w:rPr>
          <w:iCs/>
          <w:lang w:val="en-US"/>
        </w:rPr>
        <w:t xml:space="preserve"> (table No.2)</w:t>
      </w:r>
    </w:p>
    <w:p w:rsidR="00F916BA" w:rsidRDefault="00F916BA" w:rsidP="00100010">
      <w:pPr>
        <w:jc w:val="both"/>
        <w:rPr>
          <w:iCs/>
          <w:lang w:val="en-US"/>
        </w:rPr>
      </w:pPr>
    </w:p>
    <w:p w:rsidR="00F916BA" w:rsidRPr="00CC3334" w:rsidRDefault="00F916BA" w:rsidP="00100010">
      <w:pPr>
        <w:ind w:left="900"/>
        <w:jc w:val="both"/>
        <w:rPr>
          <w:iCs/>
          <w:lang w:val="en-US"/>
        </w:rPr>
      </w:pPr>
      <w:r w:rsidRPr="00B328A0">
        <w:rPr>
          <w:rStyle w:val="hw"/>
          <w:color w:val="FF0000"/>
          <w:sz w:val="20"/>
          <w:szCs w:val="20"/>
        </w:rPr>
        <w:t>Inadequacy</w:t>
      </w:r>
      <w:r>
        <w:rPr>
          <w:rStyle w:val="hw"/>
        </w:rPr>
        <w:t xml:space="preserve"> </w:t>
      </w:r>
      <w:r>
        <w:rPr>
          <w:iCs/>
          <w:lang w:val="en-US"/>
        </w:rPr>
        <w:t>in the evaluation  area “</w:t>
      </w:r>
      <w:r w:rsidRPr="00CC3334">
        <w:rPr>
          <w:iCs/>
          <w:lang w:val="en-US"/>
        </w:rPr>
        <w:t>Adequacy and availability of learning resources and associated infrastructure</w:t>
      </w:r>
      <w:r>
        <w:rPr>
          <w:iCs/>
          <w:lang w:val="en-US"/>
        </w:rPr>
        <w:t xml:space="preserve">” are influenced by following indicator: </w:t>
      </w:r>
    </w:p>
    <w:p w:rsidR="00F916BA" w:rsidRPr="00B328A0" w:rsidRDefault="00F916BA" w:rsidP="00100010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B328A0">
        <w:rPr>
          <w:rFonts w:ascii="Arial" w:hAnsi="Arial" w:cs="Arial"/>
          <w:sz w:val="20"/>
          <w:szCs w:val="20"/>
          <w:lang w:eastAsia="lt-LT"/>
        </w:rPr>
        <w:t xml:space="preserve">indicator of upgrading of equipment </w:t>
      </w:r>
      <w:r w:rsidRPr="00B328A0">
        <w:rPr>
          <w:rFonts w:ascii="Arial" w:hAnsi="Arial" w:cs="Arial"/>
          <w:iCs/>
          <w:sz w:val="20"/>
          <w:szCs w:val="20"/>
        </w:rPr>
        <w:t xml:space="preserve"> </w:t>
      </w:r>
      <w:r w:rsidRPr="00B328A0">
        <w:rPr>
          <w:rFonts w:ascii="Arial" w:hAnsi="Arial" w:cs="Arial"/>
          <w:sz w:val="20"/>
          <w:szCs w:val="20"/>
        </w:rPr>
        <w:t xml:space="preserve"> </w:t>
      </w:r>
    </w:p>
    <w:p w:rsidR="00F916BA" w:rsidRPr="00B328A0" w:rsidRDefault="00F916BA" w:rsidP="00100010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B328A0">
        <w:rPr>
          <w:rFonts w:ascii="Arial" w:hAnsi="Arial" w:cs="Arial"/>
          <w:sz w:val="20"/>
          <w:szCs w:val="20"/>
          <w:lang w:eastAsia="lt-LT"/>
        </w:rPr>
        <w:t>indicator of library acquisitions</w:t>
      </w:r>
      <w:r w:rsidRPr="00B328A0">
        <w:rPr>
          <w:rFonts w:ascii="Arial" w:hAnsi="Arial" w:cs="Arial"/>
          <w:sz w:val="20"/>
          <w:szCs w:val="20"/>
        </w:rPr>
        <w:t xml:space="preserve">; </w:t>
      </w:r>
    </w:p>
    <w:p w:rsidR="00F916BA" w:rsidRPr="00B328A0" w:rsidRDefault="00F916BA" w:rsidP="00100010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 w:rsidRPr="00B328A0">
        <w:rPr>
          <w:rFonts w:ascii="Arial" w:hAnsi="Arial" w:cs="Arial"/>
          <w:sz w:val="20"/>
          <w:szCs w:val="20"/>
          <w:lang w:eastAsia="lt-LT"/>
        </w:rPr>
        <w:t>indicator of upgrading and acquisition of IT equipment</w:t>
      </w:r>
    </w:p>
    <w:p w:rsidR="00F916BA" w:rsidRPr="00B328A0" w:rsidRDefault="00F916BA" w:rsidP="00B328A0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lang w:eastAsia="lt-LT"/>
        </w:rPr>
        <w:t>f</w:t>
      </w:r>
      <w:r w:rsidRPr="00B328A0">
        <w:rPr>
          <w:lang w:eastAsia="lt-LT"/>
        </w:rPr>
        <w:t>inancial funds for studies per student in a study field</w:t>
      </w:r>
    </w:p>
    <w:p w:rsidR="00F916BA" w:rsidRPr="00317494" w:rsidRDefault="00F916BA" w:rsidP="00A124A7">
      <w:pPr>
        <w:rPr>
          <w:rFonts w:ascii="Times New Roman" w:hAnsi="Times New Roman"/>
          <w:iCs/>
          <w:sz w:val="24"/>
          <w:szCs w:val="24"/>
        </w:rPr>
      </w:pPr>
    </w:p>
    <w:p w:rsidR="00F916BA" w:rsidRPr="001C197B" w:rsidRDefault="00F916BA" w:rsidP="001C197B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Table N</w:t>
      </w:r>
      <w:r w:rsidRPr="00C85B53">
        <w:rPr>
          <w:rFonts w:ascii="Arial" w:hAnsi="Arial" w:cs="Arial"/>
          <w:b/>
          <w:iCs/>
          <w:sz w:val="20"/>
          <w:szCs w:val="20"/>
        </w:rPr>
        <w:t>o.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C85B53">
        <w:rPr>
          <w:rFonts w:ascii="Arial" w:hAnsi="Arial" w:cs="Arial"/>
          <w:b/>
          <w:iCs/>
          <w:sz w:val="20"/>
          <w:szCs w:val="20"/>
        </w:rPr>
        <w:t xml:space="preserve">2 </w:t>
      </w:r>
      <w:r w:rsidRPr="00C85B53">
        <w:rPr>
          <w:rFonts w:ascii="Arial" w:hAnsi="Arial" w:cs="Arial"/>
          <w:b/>
          <w:iCs/>
          <w:sz w:val="20"/>
          <w:szCs w:val="20"/>
          <w:lang w:val="en-US"/>
        </w:rPr>
        <w:t xml:space="preserve">General evaluation of compliance of the Learning resources and associated infrastructure at </w:t>
      </w:r>
      <w:r>
        <w:rPr>
          <w:rFonts w:ascii="Arial" w:hAnsi="Arial" w:cs="Arial"/>
          <w:b/>
          <w:sz w:val="20"/>
          <w:szCs w:val="20"/>
          <w:lang w:val="en-US"/>
        </w:rPr>
        <w:t>Lithuanian University of Educational Sciences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6"/>
        <w:gridCol w:w="5350"/>
      </w:tblGrid>
      <w:tr w:rsidR="00F916BA" w:rsidRPr="00C85B53" w:rsidTr="00F74F42">
        <w:trPr>
          <w:trHeight w:val="205"/>
        </w:trPr>
        <w:tc>
          <w:tcPr>
            <w:tcW w:w="3191" w:type="pct"/>
          </w:tcPr>
          <w:p w:rsidR="00F916BA" w:rsidRPr="00C85B53" w:rsidRDefault="00F916BA" w:rsidP="00F74F4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85B53">
              <w:rPr>
                <w:rFonts w:ascii="Arial" w:hAnsi="Arial" w:cs="Arial"/>
                <w:b/>
                <w:iCs/>
                <w:sz w:val="20"/>
                <w:szCs w:val="20"/>
              </w:rPr>
              <w:t>Evaluation Areas</w:t>
            </w:r>
          </w:p>
        </w:tc>
        <w:tc>
          <w:tcPr>
            <w:tcW w:w="1809" w:type="pct"/>
          </w:tcPr>
          <w:p w:rsidR="00F916BA" w:rsidRPr="00C85B53" w:rsidRDefault="00F916BA" w:rsidP="00F74F4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85B5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Compliance</w:t>
            </w:r>
            <w:r w:rsidRPr="00C85B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85B5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evaluation, 2008-2010</w:t>
            </w:r>
          </w:p>
        </w:tc>
      </w:tr>
      <w:tr w:rsidR="00F916BA" w:rsidRPr="00CF7F0E" w:rsidTr="00F74F42">
        <w:tc>
          <w:tcPr>
            <w:tcW w:w="3191" w:type="pct"/>
          </w:tcPr>
          <w:p w:rsidR="00F916BA" w:rsidRPr="00317494" w:rsidRDefault="00F916BA" w:rsidP="00F74F4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334">
              <w:rPr>
                <w:iCs/>
                <w:lang w:val="en-US"/>
              </w:rPr>
              <w:t>Adequacy and availability of learning resources and associated infrastructure</w:t>
            </w:r>
          </w:p>
        </w:tc>
        <w:tc>
          <w:tcPr>
            <w:tcW w:w="1809" w:type="pct"/>
            <w:vAlign w:val="center"/>
          </w:tcPr>
          <w:p w:rsidR="00F916BA" w:rsidRPr="00317494" w:rsidRDefault="00F916BA" w:rsidP="00F74F4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916BA" w:rsidRPr="00CF7F0E" w:rsidTr="00F74F42">
        <w:tc>
          <w:tcPr>
            <w:tcW w:w="3191" w:type="pct"/>
          </w:tcPr>
          <w:p w:rsidR="00F916BA" w:rsidRPr="00B5119D" w:rsidRDefault="00F916BA" w:rsidP="00F74F42">
            <w:pPr>
              <w:jc w:val="both"/>
              <w:rPr>
                <w:lang w:val="en-US"/>
              </w:rPr>
            </w:pPr>
            <w:r w:rsidRPr="00CC3334">
              <w:rPr>
                <w:iCs/>
                <w:lang w:val="en-US"/>
              </w:rPr>
              <w:t>Composition, structure and qualification of the teaching and administrative staff</w:t>
            </w:r>
            <w:r>
              <w:rPr>
                <w:iCs/>
                <w:lang w:val="en-US"/>
              </w:rPr>
              <w:t>;</w:t>
            </w:r>
          </w:p>
        </w:tc>
        <w:tc>
          <w:tcPr>
            <w:tcW w:w="1809" w:type="pct"/>
            <w:vAlign w:val="center"/>
          </w:tcPr>
          <w:p w:rsidR="00F916BA" w:rsidRPr="00317494" w:rsidRDefault="00F916BA" w:rsidP="00F74F4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49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F916BA" w:rsidRPr="00CF7F0E" w:rsidTr="00F74F42">
        <w:trPr>
          <w:trHeight w:val="280"/>
        </w:trPr>
        <w:tc>
          <w:tcPr>
            <w:tcW w:w="3191" w:type="pct"/>
          </w:tcPr>
          <w:p w:rsidR="00F916BA" w:rsidRPr="00317494" w:rsidRDefault="00F916BA" w:rsidP="00F74F4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334">
              <w:rPr>
                <w:iCs/>
                <w:lang w:val="en-US"/>
              </w:rPr>
              <w:t>Prior academic preparedness and motivation of entrants and changes in the number of students</w:t>
            </w:r>
          </w:p>
        </w:tc>
        <w:tc>
          <w:tcPr>
            <w:tcW w:w="1809" w:type="pct"/>
            <w:vAlign w:val="center"/>
          </w:tcPr>
          <w:p w:rsidR="00F916BA" w:rsidRPr="00317494" w:rsidRDefault="00F916BA" w:rsidP="00F74F4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49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  <w:tr w:rsidR="00F916BA" w:rsidRPr="00CF7F0E" w:rsidTr="00F74F42">
        <w:tc>
          <w:tcPr>
            <w:tcW w:w="3191" w:type="pct"/>
          </w:tcPr>
          <w:p w:rsidR="00F916BA" w:rsidRPr="00317494" w:rsidRDefault="00F916BA" w:rsidP="00F74F4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3334">
              <w:rPr>
                <w:iCs/>
                <w:lang w:val="en-US"/>
              </w:rPr>
              <w:t>Efficiency of the use of funds allocated from the state budget</w:t>
            </w:r>
          </w:p>
        </w:tc>
        <w:tc>
          <w:tcPr>
            <w:tcW w:w="1809" w:type="pct"/>
            <w:vAlign w:val="center"/>
          </w:tcPr>
          <w:p w:rsidR="00F916BA" w:rsidRPr="00317494" w:rsidRDefault="00F916BA" w:rsidP="00F74F4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7494"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</w:p>
        </w:tc>
      </w:tr>
    </w:tbl>
    <w:p w:rsidR="00F916BA" w:rsidRPr="00C85B53" w:rsidRDefault="00F916BA" w:rsidP="00A124A7">
      <w:pPr>
        <w:jc w:val="both"/>
        <w:rPr>
          <w:rFonts w:ascii="Arial" w:hAnsi="Arial" w:cs="Arial"/>
          <w:iCs/>
          <w:sz w:val="20"/>
          <w:szCs w:val="20"/>
        </w:rPr>
      </w:pPr>
      <w:r w:rsidRPr="00C85B53">
        <w:rPr>
          <w:rFonts w:ascii="Arial" w:hAnsi="Arial" w:cs="Arial"/>
          <w:iCs/>
          <w:sz w:val="20"/>
          <w:szCs w:val="20"/>
        </w:rPr>
        <w:t>„+</w:t>
      </w:r>
      <w:r>
        <w:rPr>
          <w:rFonts w:ascii="Arial" w:hAnsi="Arial" w:cs="Arial"/>
          <w:iCs/>
          <w:sz w:val="20"/>
          <w:szCs w:val="20"/>
        </w:rPr>
        <w:t>“ – meet requirements„-“ – do</w:t>
      </w:r>
      <w:r w:rsidRPr="00C85B53">
        <w:rPr>
          <w:rFonts w:ascii="Arial" w:hAnsi="Arial" w:cs="Arial"/>
          <w:iCs/>
          <w:sz w:val="20"/>
          <w:szCs w:val="20"/>
        </w:rPr>
        <w:t xml:space="preserve"> not meet requirements</w:t>
      </w:r>
    </w:p>
    <w:p w:rsidR="00F916BA" w:rsidRPr="00C85B53" w:rsidRDefault="00F916BA" w:rsidP="00A124A7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916BA" w:rsidRPr="001C197B" w:rsidRDefault="00F916BA" w:rsidP="001C197B">
      <w:pPr>
        <w:jc w:val="both"/>
        <w:rPr>
          <w:b/>
          <w:color w:val="FF0000"/>
          <w:lang w:val="en-US"/>
        </w:rPr>
      </w:pPr>
      <w:r w:rsidRPr="001C197B">
        <w:rPr>
          <w:b/>
          <w:color w:val="FF0000"/>
          <w:lang w:val="en-US"/>
        </w:rPr>
        <w:t>It is recommended to pay attention to the indicators which do not meet the requirements</w:t>
      </w:r>
    </w:p>
    <w:sectPr w:rsidR="00F916BA" w:rsidRPr="001C197B" w:rsidSect="001C197B">
      <w:pgSz w:w="16838" w:h="11906" w:orient="landscape"/>
      <w:pgMar w:top="143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BA" w:rsidRDefault="00F916BA" w:rsidP="007B608D">
      <w:r>
        <w:separator/>
      </w:r>
    </w:p>
  </w:endnote>
  <w:endnote w:type="continuationSeparator" w:id="0">
    <w:p w:rsidR="00F916BA" w:rsidRDefault="00F916BA" w:rsidP="007B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BA" w:rsidRDefault="00F916BA" w:rsidP="007B608D">
      <w:r>
        <w:separator/>
      </w:r>
    </w:p>
  </w:footnote>
  <w:footnote w:type="continuationSeparator" w:id="0">
    <w:p w:rsidR="00F916BA" w:rsidRDefault="00F916BA" w:rsidP="007B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F1"/>
    <w:multiLevelType w:val="hybridMultilevel"/>
    <w:tmpl w:val="440AC164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FF48A2"/>
    <w:multiLevelType w:val="hybridMultilevel"/>
    <w:tmpl w:val="556C7C1A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62C0055"/>
    <w:multiLevelType w:val="hybridMultilevel"/>
    <w:tmpl w:val="B2B2E9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C6FC6"/>
    <w:multiLevelType w:val="hybridMultilevel"/>
    <w:tmpl w:val="EF34481C"/>
    <w:lvl w:ilvl="0" w:tplc="A782C52E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4">
    <w:nsid w:val="176655F1"/>
    <w:multiLevelType w:val="hybridMultilevel"/>
    <w:tmpl w:val="186E9ED6"/>
    <w:lvl w:ilvl="0" w:tplc="EF08B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525CBC"/>
    <w:multiLevelType w:val="hybridMultilevel"/>
    <w:tmpl w:val="AF3C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21FB"/>
    <w:multiLevelType w:val="hybridMultilevel"/>
    <w:tmpl w:val="2F0E8F22"/>
    <w:lvl w:ilvl="0" w:tplc="85A4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624880"/>
    <w:multiLevelType w:val="hybridMultilevel"/>
    <w:tmpl w:val="0EE23E2E"/>
    <w:lvl w:ilvl="0" w:tplc="C9F43A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D01782"/>
    <w:multiLevelType w:val="hybridMultilevel"/>
    <w:tmpl w:val="3B6030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15E08"/>
    <w:multiLevelType w:val="hybridMultilevel"/>
    <w:tmpl w:val="F2CE4A18"/>
    <w:lvl w:ilvl="0" w:tplc="E3361410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0">
    <w:nsid w:val="5142222A"/>
    <w:multiLevelType w:val="hybridMultilevel"/>
    <w:tmpl w:val="9AF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A65FF"/>
    <w:multiLevelType w:val="hybridMultilevel"/>
    <w:tmpl w:val="42EEF24E"/>
    <w:lvl w:ilvl="0" w:tplc="C9F43A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9EE5002"/>
    <w:multiLevelType w:val="hybridMultilevel"/>
    <w:tmpl w:val="F4EC8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D26DA"/>
    <w:multiLevelType w:val="hybridMultilevel"/>
    <w:tmpl w:val="5D3085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02D85"/>
    <w:multiLevelType w:val="multilevel"/>
    <w:tmpl w:val="C9DC7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7E4903D1"/>
    <w:multiLevelType w:val="hybridMultilevel"/>
    <w:tmpl w:val="0FE2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1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16"/>
    <w:rsid w:val="00000586"/>
    <w:rsid w:val="00070322"/>
    <w:rsid w:val="0007460B"/>
    <w:rsid w:val="000A0A6A"/>
    <w:rsid w:val="000A10DA"/>
    <w:rsid w:val="00100010"/>
    <w:rsid w:val="00180CCC"/>
    <w:rsid w:val="001C197B"/>
    <w:rsid w:val="00217F93"/>
    <w:rsid w:val="00250642"/>
    <w:rsid w:val="00285B76"/>
    <w:rsid w:val="00292B9C"/>
    <w:rsid w:val="002A3C69"/>
    <w:rsid w:val="002B37F0"/>
    <w:rsid w:val="002C1299"/>
    <w:rsid w:val="00317494"/>
    <w:rsid w:val="00345598"/>
    <w:rsid w:val="00383F40"/>
    <w:rsid w:val="003D762A"/>
    <w:rsid w:val="003E5B0F"/>
    <w:rsid w:val="00404956"/>
    <w:rsid w:val="0046706B"/>
    <w:rsid w:val="004832EB"/>
    <w:rsid w:val="00567CE4"/>
    <w:rsid w:val="005E551B"/>
    <w:rsid w:val="0065779B"/>
    <w:rsid w:val="006E21B2"/>
    <w:rsid w:val="007001F9"/>
    <w:rsid w:val="00705A16"/>
    <w:rsid w:val="00707503"/>
    <w:rsid w:val="00737BBE"/>
    <w:rsid w:val="007B1F81"/>
    <w:rsid w:val="007B608D"/>
    <w:rsid w:val="007C7CA7"/>
    <w:rsid w:val="007D5D63"/>
    <w:rsid w:val="00856047"/>
    <w:rsid w:val="008742F0"/>
    <w:rsid w:val="00965D1B"/>
    <w:rsid w:val="00977E29"/>
    <w:rsid w:val="00997AE1"/>
    <w:rsid w:val="00A124A7"/>
    <w:rsid w:val="00A55A87"/>
    <w:rsid w:val="00AB6790"/>
    <w:rsid w:val="00AE2925"/>
    <w:rsid w:val="00B328A0"/>
    <w:rsid w:val="00B37563"/>
    <w:rsid w:val="00B5119D"/>
    <w:rsid w:val="00B660B4"/>
    <w:rsid w:val="00B97B3D"/>
    <w:rsid w:val="00BE7DEB"/>
    <w:rsid w:val="00C60B76"/>
    <w:rsid w:val="00C70648"/>
    <w:rsid w:val="00C85B53"/>
    <w:rsid w:val="00C92B03"/>
    <w:rsid w:val="00CC322C"/>
    <w:rsid w:val="00CC3298"/>
    <w:rsid w:val="00CC3334"/>
    <w:rsid w:val="00CF7F0E"/>
    <w:rsid w:val="00D145A6"/>
    <w:rsid w:val="00D6617C"/>
    <w:rsid w:val="00D85953"/>
    <w:rsid w:val="00DC2F94"/>
    <w:rsid w:val="00DD2D43"/>
    <w:rsid w:val="00DD3C01"/>
    <w:rsid w:val="00E80271"/>
    <w:rsid w:val="00F13633"/>
    <w:rsid w:val="00F2315F"/>
    <w:rsid w:val="00F27319"/>
    <w:rsid w:val="00F57DA3"/>
    <w:rsid w:val="00F603E1"/>
    <w:rsid w:val="00F642D3"/>
    <w:rsid w:val="00F661DC"/>
    <w:rsid w:val="00F729D3"/>
    <w:rsid w:val="00F74F42"/>
    <w:rsid w:val="00F916BA"/>
    <w:rsid w:val="00FC55E5"/>
    <w:rsid w:val="00FD70A2"/>
    <w:rsid w:val="00FE23B1"/>
    <w:rsid w:val="00FE59C6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80CC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CCC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CCC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0CCC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0CCC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0CCC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0CCC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0CCC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0CCC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0CCC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CCC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0CCC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0CCC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0CCC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0CCC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0CCC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0CCC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0CCC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0CCC"/>
    <w:rPr>
      <w:rFonts w:ascii="Cambria" w:hAnsi="Cambria" w:cs="Times New Roman"/>
      <w:i/>
      <w:iCs/>
      <w:spacing w:val="5"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sid w:val="00180CCC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180CCC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80CCC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0CCC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0CCC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180CC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80CCC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180CCC"/>
  </w:style>
  <w:style w:type="paragraph" w:styleId="ListParagraph">
    <w:name w:val="List Paragraph"/>
    <w:basedOn w:val="Normal"/>
    <w:uiPriority w:val="99"/>
    <w:qFormat/>
    <w:rsid w:val="00180C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80CC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80CCC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0C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0CCC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180CCC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180CCC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180CCC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80CCC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80C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A1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0DA"/>
    <w:rPr>
      <w:rFonts w:ascii="Tahoma" w:hAnsi="Tahoma" w:cs="Tahoma"/>
      <w:sz w:val="16"/>
      <w:szCs w:val="16"/>
    </w:rPr>
  </w:style>
  <w:style w:type="paragraph" w:customStyle="1" w:styleId="xl82">
    <w:name w:val="xl82"/>
    <w:basedOn w:val="Normal"/>
    <w:uiPriority w:val="99"/>
    <w:rsid w:val="00F6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Calibri"/>
      <w:color w:val="000000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rsid w:val="007B60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0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60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08D"/>
    <w:rPr>
      <w:rFonts w:cs="Times New Roman"/>
    </w:rPr>
  </w:style>
  <w:style w:type="character" w:customStyle="1" w:styleId="st1">
    <w:name w:val="st1"/>
    <w:basedOn w:val="DefaultParagraphFont"/>
    <w:uiPriority w:val="99"/>
    <w:rsid w:val="00FE23B1"/>
    <w:rPr>
      <w:rFonts w:cs="Times New Roman"/>
    </w:rPr>
  </w:style>
  <w:style w:type="paragraph" w:customStyle="1" w:styleId="tekstas">
    <w:name w:val="tekstas"/>
    <w:uiPriority w:val="99"/>
    <w:rsid w:val="00FE23B1"/>
    <w:pPr>
      <w:ind w:firstLine="720"/>
      <w:jc w:val="both"/>
    </w:pPr>
    <w:rPr>
      <w:rFonts w:ascii="Times New Roman" w:hAnsi="Times New Roman"/>
      <w:sz w:val="24"/>
      <w:lang w:eastAsia="en-US"/>
    </w:rPr>
  </w:style>
  <w:style w:type="character" w:customStyle="1" w:styleId="hw">
    <w:name w:val="hw"/>
    <w:basedOn w:val="DefaultParagraphFont"/>
    <w:uiPriority w:val="99"/>
    <w:rsid w:val="00B328A0"/>
    <w:rPr>
      <w:rFonts w:ascii="Arial" w:hAnsi="Arial" w:cs="Arial"/>
      <w:b/>
      <w:bCs/>
      <w:color w:val="A5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3589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STAT4</dc:creator>
  <cp:keywords/>
  <dc:description/>
  <cp:lastModifiedBy>d.buivydiene</cp:lastModifiedBy>
  <cp:revision>15</cp:revision>
  <cp:lastPrinted>2011-10-25T08:16:00Z</cp:lastPrinted>
  <dcterms:created xsi:type="dcterms:W3CDTF">2011-10-27T08:44:00Z</dcterms:created>
  <dcterms:modified xsi:type="dcterms:W3CDTF">2012-03-23T06:15:00Z</dcterms:modified>
</cp:coreProperties>
</file>