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0EF6EE06"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5179F9">
        <w:rPr>
          <w:rFonts w:ascii="Arial" w:hAnsi="Arial" w:cs="Arial"/>
          <w:b/>
          <w:caps/>
          <w:lang w:val="en-GB"/>
        </w:rPr>
        <w:t xml:space="preserve"> political science </w:t>
      </w:r>
      <w:r w:rsidR="006501B9" w:rsidRPr="00100E50">
        <w:rPr>
          <w:rFonts w:ascii="Arial" w:hAnsi="Arial" w:cs="Arial"/>
          <w:b/>
          <w:caps/>
          <w:lang w:val="en-GB"/>
        </w:rPr>
        <w:t xml:space="preserve">study field </w:t>
      </w:r>
      <w:r w:rsidR="00E90C75" w:rsidRPr="00100E50">
        <w:rPr>
          <w:rFonts w:ascii="Arial" w:hAnsi="Arial" w:cs="Arial"/>
          <w:b/>
          <w:caps/>
          <w:lang w:val="en-GB"/>
        </w:rPr>
        <w:t xml:space="preserve">evaluation report </w:t>
      </w:r>
    </w:p>
    <w:p w14:paraId="08E66B11" w14:textId="0E2B8B47"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 xml:space="preserve">at </w:t>
      </w:r>
      <w:r w:rsidR="005179F9">
        <w:rPr>
          <w:rFonts w:ascii="Arial" w:hAnsi="Arial" w:cs="Arial"/>
          <w:b/>
          <w:caps/>
          <w:lang w:val="en-GB"/>
        </w:rPr>
        <w:t>klaipėda university</w:t>
      </w:r>
    </w:p>
    <w:p w14:paraId="0AA61D4E" w14:textId="03846789" w:rsidR="0042467A" w:rsidRPr="00100E50" w:rsidRDefault="00E513AA"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25</w:t>
      </w:r>
      <w:r w:rsidR="005179F9" w:rsidRPr="005179F9">
        <w:rPr>
          <w:rFonts w:ascii="Arial" w:hAnsi="Arial" w:cs="Arial"/>
          <w:b/>
          <w:caps/>
          <w:vertAlign w:val="superscript"/>
          <w:lang w:val="en-GB"/>
        </w:rPr>
        <w:t>th</w:t>
      </w:r>
      <w:r w:rsidR="005179F9">
        <w:rPr>
          <w:rFonts w:ascii="Arial" w:hAnsi="Arial" w:cs="Arial"/>
          <w:b/>
          <w:caps/>
          <w:lang w:val="en-GB"/>
        </w:rPr>
        <w:t xml:space="preserve"> of march 2025, </w:t>
      </w:r>
      <w:r w:rsidR="0042467A" w:rsidRPr="00100E50">
        <w:rPr>
          <w:rFonts w:ascii="Arial" w:hAnsi="Arial" w:cs="Arial"/>
          <w:b/>
          <w:caps/>
          <w:lang w:val="en-GB"/>
        </w:rPr>
        <w:t xml:space="preserve">NO. </w:t>
      </w:r>
      <w:r w:rsidR="002F4424" w:rsidRPr="00100E50">
        <w:rPr>
          <w:rFonts w:ascii="Arial" w:hAnsi="Arial" w:cs="Arial"/>
          <w:b/>
          <w:color w:val="000000"/>
          <w:lang w:val="en-GB"/>
        </w:rPr>
        <w:t>SV4-</w:t>
      </w:r>
      <w:r>
        <w:rPr>
          <w:rFonts w:ascii="Arial" w:hAnsi="Arial" w:cs="Arial"/>
          <w:b/>
          <w:color w:val="000000"/>
          <w:lang w:val="en-GB"/>
        </w:rPr>
        <w:t>26</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10080E3C" w:rsidR="005D0FF7" w:rsidRPr="003F1A39" w:rsidRDefault="001F3C2C"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POLITICAL SCIENCE</w:t>
      </w:r>
      <w:r w:rsidR="005D0FF7" w:rsidRPr="003F1A39">
        <w:rPr>
          <w:rFonts w:ascii="Arial" w:eastAsia="Calibri" w:hAnsi="Arial" w:cs="Arial"/>
          <w:b/>
          <w:iCs/>
          <w:color w:val="5B0009"/>
          <w:sz w:val="40"/>
          <w:szCs w:val="40"/>
          <w:lang w:val="en-GB" w:eastAsia="lt-LT"/>
        </w:rPr>
        <w:t xml:space="preserve"> 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12774E50" w:rsidR="005D0FF7" w:rsidRPr="003F1A39" w:rsidRDefault="001F3C2C"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Klaip</w:t>
      </w:r>
      <w:r w:rsidR="005C231C">
        <w:rPr>
          <w:rFonts w:ascii="Arial" w:eastAsia="Calibri" w:hAnsi="Arial" w:cs="Arial"/>
          <w:b/>
          <w:iCs/>
          <w:color w:val="5B0009"/>
          <w:sz w:val="40"/>
          <w:szCs w:val="40"/>
          <w:lang w:val="en-GB" w:eastAsia="lt-LT"/>
        </w:rPr>
        <w:t>e</w:t>
      </w:r>
      <w:r>
        <w:rPr>
          <w:rFonts w:ascii="Arial" w:eastAsia="Calibri" w:hAnsi="Arial" w:cs="Arial"/>
          <w:b/>
          <w:iCs/>
          <w:color w:val="5B0009"/>
          <w:sz w:val="40"/>
          <w:szCs w:val="40"/>
          <w:lang w:val="en-GB" w:eastAsia="lt-LT"/>
        </w:rPr>
        <w:t>da</w:t>
      </w:r>
      <w:r w:rsidR="005D0FF7" w:rsidRPr="003F1A39">
        <w:rPr>
          <w:rFonts w:ascii="Arial" w:eastAsia="Calibri" w:hAnsi="Arial" w:cs="Arial"/>
          <w:b/>
          <w:iCs/>
          <w:color w:val="5B0009"/>
          <w:sz w:val="40"/>
          <w:szCs w:val="40"/>
          <w:lang w:val="en-GB" w:eastAsia="lt-LT"/>
        </w:rPr>
        <w:t xml:space="preserve"> University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NoSpacing"/>
        <w:rPr>
          <w:rFonts w:asciiTheme="minorHAnsi" w:hAnsiTheme="minorHAnsi" w:cstheme="minorHAnsi"/>
          <w:iCs/>
          <w:lang w:val="en-GB" w:eastAsia="lt-LT"/>
        </w:rPr>
      </w:pPr>
    </w:p>
    <w:p w14:paraId="69CF0672" w14:textId="77777777" w:rsidR="005D0FF7" w:rsidRPr="005D0FF7" w:rsidRDefault="005D0FF7" w:rsidP="005D0FF7">
      <w:pPr>
        <w:pStyle w:val="NoSpacing"/>
        <w:rPr>
          <w:rFonts w:asciiTheme="minorHAnsi" w:hAnsiTheme="minorHAnsi" w:cstheme="minorHAnsi"/>
          <w:iCs/>
          <w:lang w:val="en-GB" w:eastAsia="lt-LT"/>
        </w:rPr>
      </w:pPr>
    </w:p>
    <w:p w14:paraId="4637445E" w14:textId="77777777" w:rsidR="005D0FF7" w:rsidRPr="005D0FF7" w:rsidRDefault="005D0FF7" w:rsidP="005D0FF7">
      <w:pPr>
        <w:pStyle w:val="NoSpacing"/>
        <w:rPr>
          <w:rFonts w:asciiTheme="minorHAnsi" w:hAnsiTheme="minorHAnsi" w:cstheme="minorHAnsi"/>
          <w:iCs/>
          <w:lang w:val="en-GB"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85"/>
      </w:tblGrid>
      <w:tr w:rsidR="005D0FF7" w:rsidRPr="005D0FF7" w14:paraId="7A202593" w14:textId="77777777" w:rsidTr="00F50679">
        <w:tc>
          <w:tcPr>
            <w:tcW w:w="9628" w:type="dxa"/>
          </w:tcPr>
          <w:p w14:paraId="5A20EB44" w14:textId="77777777" w:rsidR="007A4134" w:rsidRDefault="007A4134" w:rsidP="007A4134">
            <w:pPr>
              <w:spacing w:before="11"/>
              <w:ind w:left="85" w:firstLine="85"/>
              <w:textDirection w:val="btLr"/>
            </w:pPr>
            <w:r>
              <w:rPr>
                <w:rFonts w:ascii="Arial" w:eastAsia="Arial" w:hAnsi="Arial" w:cs="Arial"/>
                <w:b/>
                <w:color w:val="5B0009"/>
              </w:rPr>
              <w:t>Expert panel:</w:t>
            </w:r>
          </w:p>
          <w:p w14:paraId="3BEE7382" w14:textId="77777777" w:rsidR="007A4134" w:rsidRDefault="007A4134" w:rsidP="007A4134">
            <w:pPr>
              <w:spacing w:before="41"/>
              <w:ind w:left="645" w:firstLine="445"/>
              <w:textDirection w:val="btLr"/>
            </w:pPr>
            <w:r>
              <w:rPr>
                <w:rFonts w:ascii="Arial" w:eastAsia="Arial" w:hAnsi="Arial" w:cs="Arial"/>
                <w:color w:val="000000"/>
              </w:rPr>
              <w:t>Panel chair: Prof. Stefan Gänzle</w:t>
            </w:r>
            <w:r>
              <w:rPr>
                <w:color w:val="000000"/>
              </w:rPr>
              <w:tab/>
            </w:r>
            <w:r>
              <w:rPr>
                <w:rFonts w:ascii="Arial" w:eastAsia="Arial" w:hAnsi="Arial" w:cs="Arial"/>
                <w:color w:val="000000"/>
              </w:rPr>
              <w:t>(signature)</w:t>
            </w:r>
          </w:p>
          <w:p w14:paraId="45D219F8" w14:textId="77777777" w:rsidR="007A4134" w:rsidRDefault="007A4134" w:rsidP="007A4134">
            <w:pPr>
              <w:spacing w:before="40"/>
              <w:ind w:left="645" w:firstLine="445"/>
              <w:textDirection w:val="btLr"/>
            </w:pPr>
            <w:r>
              <w:rPr>
                <w:rFonts w:ascii="Arial" w:eastAsia="Arial" w:hAnsi="Arial" w:cs="Arial"/>
                <w:color w:val="000000"/>
              </w:rPr>
              <w:t>Academic member: Prof. Anu Toots</w:t>
            </w:r>
          </w:p>
          <w:p w14:paraId="283B0D78" w14:textId="77777777" w:rsidR="007A4134" w:rsidRDefault="007A4134" w:rsidP="007A4134">
            <w:pPr>
              <w:spacing w:before="41"/>
              <w:ind w:left="645" w:firstLine="445"/>
              <w:textDirection w:val="btLr"/>
            </w:pPr>
            <w:r>
              <w:rPr>
                <w:rFonts w:ascii="Arial" w:eastAsia="Arial" w:hAnsi="Arial" w:cs="Arial"/>
                <w:color w:val="000000"/>
              </w:rPr>
              <w:t>Academic member: Prof. Simon Lightfoot</w:t>
            </w:r>
          </w:p>
          <w:p w14:paraId="7C808E48" w14:textId="77777777" w:rsidR="007A4134" w:rsidRDefault="007A4134" w:rsidP="007A4134">
            <w:pPr>
              <w:spacing w:before="40"/>
              <w:ind w:left="645" w:firstLine="445"/>
              <w:textDirection w:val="btLr"/>
            </w:pPr>
            <w:r>
              <w:rPr>
                <w:rFonts w:ascii="Arial" w:eastAsia="Arial" w:hAnsi="Arial" w:cs="Arial"/>
                <w:color w:val="000000"/>
              </w:rPr>
              <w:t>Social partner representative: Mr. Simonas Gaušas</w:t>
            </w:r>
          </w:p>
          <w:p w14:paraId="6ADF4A41" w14:textId="77777777" w:rsidR="007A4134" w:rsidRDefault="007A4134" w:rsidP="007A4134">
            <w:pPr>
              <w:spacing w:before="40"/>
              <w:ind w:left="645" w:firstLine="445"/>
              <w:textDirection w:val="btLr"/>
            </w:pPr>
            <w:r>
              <w:rPr>
                <w:rFonts w:ascii="Arial" w:eastAsia="Arial" w:hAnsi="Arial" w:cs="Arial"/>
                <w:color w:val="000000"/>
              </w:rPr>
              <w:t>Student representative: Ms. Karolina Markauskaitė</w:t>
            </w:r>
          </w:p>
          <w:p w14:paraId="1330813F" w14:textId="77777777" w:rsidR="007A4134" w:rsidRDefault="007A4134" w:rsidP="007A4134">
            <w:pPr>
              <w:textDirection w:val="btLr"/>
            </w:pPr>
          </w:p>
          <w:p w14:paraId="46DB1B70" w14:textId="77777777" w:rsidR="007A4134" w:rsidRDefault="007A4134" w:rsidP="007A4134">
            <w:pPr>
              <w:spacing w:before="6"/>
              <w:textDirection w:val="btLr"/>
            </w:pPr>
          </w:p>
          <w:p w14:paraId="5EB87173" w14:textId="77777777" w:rsidR="007A4134" w:rsidRDefault="007A4134" w:rsidP="007A4134">
            <w:pPr>
              <w:ind w:left="85" w:firstLine="85"/>
              <w:textDirection w:val="btLr"/>
            </w:pPr>
            <w:r>
              <w:rPr>
                <w:rFonts w:ascii="Arial" w:eastAsia="Arial" w:hAnsi="Arial" w:cs="Arial"/>
                <w:b/>
                <w:color w:val="5B0009"/>
              </w:rPr>
              <w:t>SKVC coordinator</w:t>
            </w:r>
            <w:r>
              <w:rPr>
                <w:rFonts w:ascii="Arial" w:eastAsia="Arial" w:hAnsi="Arial" w:cs="Arial"/>
                <w:color w:val="5B0009"/>
              </w:rPr>
              <w:t xml:space="preserve">: </w:t>
            </w:r>
            <w:r>
              <w:rPr>
                <w:rFonts w:ascii="Arial" w:eastAsia="Arial" w:hAnsi="Arial" w:cs="Arial"/>
                <w:color w:val="000000"/>
              </w:rPr>
              <w:t>Greta Misevičiūtė</w:t>
            </w:r>
          </w:p>
          <w:p w14:paraId="4F6894C5" w14:textId="16B2883B" w:rsidR="005D0FF7" w:rsidRPr="005D0FF7" w:rsidRDefault="005D0FF7" w:rsidP="00F50679">
            <w:pPr>
              <w:tabs>
                <w:tab w:val="left" w:pos="0"/>
              </w:tabs>
              <w:spacing w:line="276" w:lineRule="auto"/>
              <w:rPr>
                <w:rFonts w:asciiTheme="minorHAnsi" w:hAnsiTheme="minorHAnsi" w:cstheme="minorHAnsi"/>
                <w:iCs/>
                <w:lang w:val="en-GB" w:eastAsia="lt-LT"/>
              </w:rPr>
            </w:pPr>
          </w:p>
        </w:tc>
      </w:tr>
    </w:tbl>
    <w:p w14:paraId="3E4E7AB4" w14:textId="77777777" w:rsidR="005D0FF7" w:rsidRPr="005D0FF7" w:rsidRDefault="005D0FF7" w:rsidP="005D0FF7">
      <w:pPr>
        <w:pStyle w:val="NoSpacing"/>
        <w:rPr>
          <w:rFonts w:asciiTheme="minorHAnsi" w:hAnsiTheme="minorHAnsi" w:cstheme="minorHAnsi"/>
          <w:iCs/>
          <w:lang w:val="en-GB" w:eastAsia="lt-LT"/>
        </w:rPr>
      </w:pPr>
    </w:p>
    <w:p w14:paraId="63C6206F" w14:textId="77777777" w:rsidR="005D0FF7" w:rsidRPr="005D0FF7" w:rsidRDefault="005D0FF7" w:rsidP="005D0FF7">
      <w:pPr>
        <w:pStyle w:val="NoSpacing"/>
        <w:rPr>
          <w:rFonts w:asciiTheme="minorHAnsi" w:hAnsiTheme="minorHAnsi" w:cstheme="minorHAnsi"/>
          <w:iCs/>
          <w:lang w:val="en-GB" w:eastAsia="lt-LT"/>
        </w:rPr>
      </w:pPr>
    </w:p>
    <w:p w14:paraId="36AF00C7"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B48F4FB" w14:textId="4FEBFD36"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7A4134">
        <w:rPr>
          <w:rFonts w:ascii="Arial" w:hAnsi="Arial" w:cs="Arial"/>
          <w:iCs/>
          <w:color w:val="5B0009"/>
          <w:szCs w:val="24"/>
          <w:lang w:val="en-GB" w:eastAsia="lt-LT"/>
        </w:rPr>
        <w:t>2025</w:t>
      </w:r>
    </w:p>
    <w:p w14:paraId="38EB3732" w14:textId="77777777"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42FA8D8" w14:textId="77777777" w:rsidR="005D0FF7" w:rsidRDefault="005D0FF7" w:rsidP="005D0FF7">
      <w:pPr>
        <w:pStyle w:val="NoSpacing"/>
        <w:jc w:val="center"/>
        <w:rPr>
          <w:rFonts w:asciiTheme="minorHAnsi" w:hAnsiTheme="minorHAnsi" w:cstheme="minorHAnsi"/>
          <w:iCs/>
          <w:color w:val="5B0009"/>
          <w:szCs w:val="24"/>
          <w:lang w:val="en-GB" w:eastAsia="lt-LT"/>
        </w:rPr>
      </w:pPr>
    </w:p>
    <w:p w14:paraId="43A80A40" w14:textId="77777777" w:rsidR="00535C59" w:rsidRDefault="00535C59" w:rsidP="005D0FF7">
      <w:pPr>
        <w:pStyle w:val="NoSpacing"/>
        <w:jc w:val="center"/>
        <w:rPr>
          <w:rFonts w:asciiTheme="minorHAnsi" w:hAnsiTheme="minorHAnsi" w:cstheme="minorHAnsi"/>
          <w:iCs/>
          <w:color w:val="5B0009"/>
          <w:szCs w:val="24"/>
          <w:lang w:val="en-GB" w:eastAsia="lt-LT"/>
        </w:rPr>
      </w:pPr>
    </w:p>
    <w:p w14:paraId="636D6B8A" w14:textId="77777777" w:rsidR="005D0FF7" w:rsidRPr="003F1A39" w:rsidRDefault="005D0FF7" w:rsidP="00DB692D">
      <w:pPr>
        <w:pStyle w:val="NoSpacing"/>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NoSpacing"/>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2DF27B88"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STUDY PROGRAMM</w:t>
      </w:r>
      <w:r w:rsidR="00BE720C">
        <w:rPr>
          <w:rFonts w:ascii="Arial" w:hAnsi="Arial" w:cs="Arial"/>
          <w:color w:val="5B0009"/>
          <w:sz w:val="32"/>
          <w:szCs w:val="32"/>
        </w:rPr>
        <w:t>E</w:t>
      </w:r>
      <w:r w:rsidRPr="00535C59">
        <w:rPr>
          <w:rFonts w:ascii="Arial" w:hAnsi="Arial" w:cs="Arial"/>
          <w:color w:val="5B0009"/>
          <w:sz w:val="32"/>
          <w:szCs w:val="32"/>
        </w:rPr>
        <w:t xml:space="preserve">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3E3D3A06" w14:textId="056EA961" w:rsidR="005D0FF7" w:rsidRPr="00E035D8" w:rsidRDefault="00DB692D" w:rsidP="005D0FF7">
      <w:pPr>
        <w:rPr>
          <w:rFonts w:ascii="Arial" w:hAnsi="Arial" w:cs="Arial"/>
          <w:b/>
          <w:bCs/>
          <w:iCs/>
          <w:color w:val="5B0009"/>
          <w:sz w:val="22"/>
          <w:szCs w:val="22"/>
          <w:lang w:val="en-GB" w:eastAsia="lt-LT"/>
        </w:rPr>
      </w:pPr>
      <w:r>
        <w:rPr>
          <w:rFonts w:ascii="Arial" w:hAnsi="Arial" w:cs="Arial"/>
          <w:b/>
          <w:bCs/>
          <w:iCs/>
          <w:color w:val="5B0009"/>
          <w:sz w:val="22"/>
          <w:szCs w:val="22"/>
          <w:lang w:val="en-GB" w:eastAsia="lt-LT"/>
        </w:rPr>
        <w:t xml:space="preserve">         </w:t>
      </w:r>
      <w:r w:rsidR="00BE720C">
        <w:rPr>
          <w:rFonts w:ascii="Arial" w:hAnsi="Arial" w:cs="Arial"/>
          <w:b/>
          <w:bCs/>
          <w:iCs/>
          <w:color w:val="5B0009"/>
          <w:sz w:val="22"/>
          <w:szCs w:val="22"/>
          <w:lang w:val="en-GB" w:eastAsia="lt-LT"/>
        </w:rPr>
        <w:t xml:space="preserve">           </w:t>
      </w:r>
      <w:r w:rsidR="005D0FF7" w:rsidRPr="00E035D8">
        <w:rPr>
          <w:rFonts w:ascii="Arial" w:hAnsi="Arial" w:cs="Arial"/>
          <w:b/>
          <w:bCs/>
          <w:iCs/>
          <w:color w:val="5B0009"/>
          <w:sz w:val="22"/>
          <w:szCs w:val="22"/>
          <w:lang w:val="en-GB" w:eastAsia="lt-LT"/>
        </w:rPr>
        <w:t>Second cycle/LTQF 7</w:t>
      </w:r>
    </w:p>
    <w:tbl>
      <w:tblPr>
        <w:tblStyle w:val="TableGrid"/>
        <w:tblW w:w="3476" w:type="pct"/>
        <w:tblInd w:w="1271" w:type="dxa"/>
        <w:tblLayout w:type="fixed"/>
        <w:tblLook w:val="04A0" w:firstRow="1" w:lastRow="0" w:firstColumn="1" w:lastColumn="0" w:noHBand="0" w:noVBand="1"/>
      </w:tblPr>
      <w:tblGrid>
        <w:gridCol w:w="3544"/>
        <w:gridCol w:w="3259"/>
      </w:tblGrid>
      <w:tr w:rsidR="007177C7" w:rsidRPr="00F66E6A" w14:paraId="6E4227D1" w14:textId="77777777" w:rsidTr="00BE720C">
        <w:trPr>
          <w:trHeight w:val="510"/>
        </w:trPr>
        <w:tc>
          <w:tcPr>
            <w:tcW w:w="2605" w:type="pct"/>
            <w:shd w:val="clear" w:color="auto" w:fill="5B0009"/>
            <w:vAlign w:val="center"/>
          </w:tcPr>
          <w:p w14:paraId="4DE7CFD8"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Title of the study programme</w:t>
            </w:r>
          </w:p>
        </w:tc>
        <w:tc>
          <w:tcPr>
            <w:tcW w:w="2395" w:type="pct"/>
            <w:shd w:val="clear" w:color="136C73" w:fill="FFFFFF" w:themeFill="background1"/>
          </w:tcPr>
          <w:p w14:paraId="3B20174B" w14:textId="178FE0E6" w:rsidR="007177C7" w:rsidRPr="00F66E6A" w:rsidRDefault="007177C7" w:rsidP="007177C7">
            <w:pPr>
              <w:rPr>
                <w:rFonts w:asciiTheme="minorHAnsi" w:eastAsiaTheme="majorEastAsia" w:hAnsiTheme="minorHAnsi" w:cstheme="minorHAnsi"/>
                <w:b/>
                <w:iCs/>
                <w:sz w:val="22"/>
                <w:szCs w:val="22"/>
                <w:lang w:val="en-GB"/>
              </w:rPr>
            </w:pPr>
            <w:r>
              <w:rPr>
                <w:rFonts w:ascii="Arial" w:eastAsia="Arial" w:hAnsi="Arial" w:cs="Arial"/>
                <w:b/>
                <w:color w:val="000000"/>
                <w:sz w:val="22"/>
                <w:szCs w:val="22"/>
              </w:rPr>
              <w:t>National Security</w:t>
            </w:r>
          </w:p>
        </w:tc>
      </w:tr>
      <w:tr w:rsidR="007177C7" w:rsidRPr="00F66E6A" w14:paraId="0812F604" w14:textId="77777777" w:rsidTr="00BE720C">
        <w:trPr>
          <w:trHeight w:val="510"/>
        </w:trPr>
        <w:tc>
          <w:tcPr>
            <w:tcW w:w="2605" w:type="pct"/>
            <w:shd w:val="clear" w:color="auto" w:fill="5B0009"/>
            <w:vAlign w:val="center"/>
          </w:tcPr>
          <w:p w14:paraId="7AFE6227"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State code</w:t>
            </w:r>
          </w:p>
        </w:tc>
        <w:tc>
          <w:tcPr>
            <w:tcW w:w="2395" w:type="pct"/>
          </w:tcPr>
          <w:p w14:paraId="6486101C" w14:textId="05B390CE" w:rsidR="007177C7" w:rsidRPr="00CF1D8A" w:rsidRDefault="007177C7" w:rsidP="007177C7">
            <w:pPr>
              <w:rPr>
                <w:rStyle w:val="fontstyle01"/>
                <w:rFonts w:asciiTheme="minorHAnsi" w:eastAsiaTheme="majorEastAsia" w:hAnsiTheme="minorHAnsi" w:cstheme="minorHAnsi"/>
                <w:bCs/>
                <w:iCs/>
                <w:sz w:val="22"/>
                <w:szCs w:val="22"/>
              </w:rPr>
            </w:pPr>
            <w:r>
              <w:rPr>
                <w:rFonts w:ascii="Arial" w:eastAsia="Arial" w:hAnsi="Arial" w:cs="Arial"/>
                <w:color w:val="000000"/>
                <w:sz w:val="22"/>
                <w:szCs w:val="22"/>
              </w:rPr>
              <w:t>6211JX087</w:t>
            </w:r>
          </w:p>
        </w:tc>
      </w:tr>
      <w:tr w:rsidR="007177C7" w:rsidRPr="00F66E6A" w14:paraId="085D76DC" w14:textId="77777777" w:rsidTr="00BE720C">
        <w:trPr>
          <w:trHeight w:val="510"/>
        </w:trPr>
        <w:tc>
          <w:tcPr>
            <w:tcW w:w="2605" w:type="pct"/>
            <w:shd w:val="clear" w:color="auto" w:fill="5B0009"/>
            <w:vAlign w:val="center"/>
          </w:tcPr>
          <w:p w14:paraId="5A749AE5"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Type of study (college/university)</w:t>
            </w:r>
          </w:p>
        </w:tc>
        <w:tc>
          <w:tcPr>
            <w:tcW w:w="2395" w:type="pct"/>
          </w:tcPr>
          <w:p w14:paraId="002D0298" w14:textId="54C6D99E"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University</w:t>
            </w:r>
          </w:p>
        </w:tc>
      </w:tr>
      <w:tr w:rsidR="007177C7" w:rsidRPr="00F66E6A" w14:paraId="22BFB7CB" w14:textId="77777777" w:rsidTr="00BE720C">
        <w:trPr>
          <w:trHeight w:val="510"/>
        </w:trPr>
        <w:tc>
          <w:tcPr>
            <w:tcW w:w="2605" w:type="pct"/>
            <w:shd w:val="clear" w:color="auto" w:fill="5B0009"/>
            <w:vAlign w:val="center"/>
          </w:tcPr>
          <w:p w14:paraId="04A59431"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Mode of study (full time/part time) and nominal duration (in years)</w:t>
            </w:r>
          </w:p>
        </w:tc>
        <w:tc>
          <w:tcPr>
            <w:tcW w:w="2395" w:type="pct"/>
          </w:tcPr>
          <w:p w14:paraId="258E535F" w14:textId="6B9777BC"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Full-time, 1,5 years</w:t>
            </w:r>
          </w:p>
        </w:tc>
      </w:tr>
      <w:tr w:rsidR="007177C7" w:rsidRPr="00F66E6A" w14:paraId="12BC31B4" w14:textId="77777777" w:rsidTr="00BE720C">
        <w:trPr>
          <w:trHeight w:val="510"/>
        </w:trPr>
        <w:tc>
          <w:tcPr>
            <w:tcW w:w="2605" w:type="pct"/>
            <w:shd w:val="clear" w:color="auto" w:fill="5B0009"/>
            <w:vAlign w:val="center"/>
          </w:tcPr>
          <w:p w14:paraId="2FFAAA1C"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Workload in ECTS</w:t>
            </w:r>
          </w:p>
        </w:tc>
        <w:tc>
          <w:tcPr>
            <w:tcW w:w="2395" w:type="pct"/>
          </w:tcPr>
          <w:p w14:paraId="282801BC" w14:textId="2CD9525F"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90</w:t>
            </w:r>
          </w:p>
        </w:tc>
      </w:tr>
      <w:tr w:rsidR="007177C7" w:rsidRPr="00F66E6A" w14:paraId="05919EC9" w14:textId="77777777" w:rsidTr="00BE720C">
        <w:trPr>
          <w:trHeight w:val="510"/>
        </w:trPr>
        <w:tc>
          <w:tcPr>
            <w:tcW w:w="2605" w:type="pct"/>
            <w:shd w:val="clear" w:color="auto" w:fill="5B0009"/>
            <w:vAlign w:val="center"/>
          </w:tcPr>
          <w:p w14:paraId="58CB8075"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Award (degree and/or professional qualification)</w:t>
            </w:r>
          </w:p>
        </w:tc>
        <w:tc>
          <w:tcPr>
            <w:tcW w:w="2395" w:type="pct"/>
          </w:tcPr>
          <w:p w14:paraId="29FF1C5F" w14:textId="2839CFB8"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Master of Social Sciences</w:t>
            </w:r>
          </w:p>
        </w:tc>
      </w:tr>
      <w:tr w:rsidR="007177C7" w:rsidRPr="00F66E6A" w14:paraId="37A01FDA" w14:textId="77777777" w:rsidTr="00BE720C">
        <w:trPr>
          <w:trHeight w:val="510"/>
        </w:trPr>
        <w:tc>
          <w:tcPr>
            <w:tcW w:w="2605" w:type="pct"/>
            <w:shd w:val="clear" w:color="auto" w:fill="5B0009"/>
            <w:vAlign w:val="center"/>
          </w:tcPr>
          <w:p w14:paraId="3E852769"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Language of instruction</w:t>
            </w:r>
          </w:p>
        </w:tc>
        <w:tc>
          <w:tcPr>
            <w:tcW w:w="2395" w:type="pct"/>
          </w:tcPr>
          <w:p w14:paraId="22C7C7F8" w14:textId="4CE28B14"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Lithuanian</w:t>
            </w:r>
          </w:p>
        </w:tc>
      </w:tr>
      <w:tr w:rsidR="007177C7" w:rsidRPr="00F66E6A" w14:paraId="53D6FE5B" w14:textId="77777777" w:rsidTr="00BE720C">
        <w:trPr>
          <w:trHeight w:val="510"/>
        </w:trPr>
        <w:tc>
          <w:tcPr>
            <w:tcW w:w="2605" w:type="pct"/>
            <w:shd w:val="clear" w:color="auto" w:fill="5B0009"/>
            <w:vAlign w:val="center"/>
          </w:tcPr>
          <w:p w14:paraId="14F2B741"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Admission requirements</w:t>
            </w:r>
          </w:p>
        </w:tc>
        <w:tc>
          <w:tcPr>
            <w:tcW w:w="2395" w:type="pct"/>
          </w:tcPr>
          <w:p w14:paraId="4C4E6B8F" w14:textId="29FE51D0" w:rsidR="007177C7" w:rsidRPr="00CF1D8A" w:rsidRDefault="007177C7" w:rsidP="007177C7">
            <w:pPr>
              <w:rPr>
                <w:rFonts w:asciiTheme="minorHAnsi" w:eastAsiaTheme="majorEastAsia" w:hAnsiTheme="minorHAnsi" w:cstheme="minorHAnsi"/>
                <w:bCs/>
                <w:iCs/>
                <w:sz w:val="22"/>
                <w:szCs w:val="22"/>
                <w:lang w:val="en-GB"/>
              </w:rPr>
            </w:pPr>
            <w:r>
              <w:rPr>
                <w:rFonts w:ascii="Arial" w:eastAsia="Arial" w:hAnsi="Arial" w:cs="Arial"/>
                <w:color w:val="000000"/>
                <w:sz w:val="22"/>
                <w:szCs w:val="22"/>
              </w:rPr>
              <w:t>University bachelors or professional bachelors after undertaking bridge studies</w:t>
            </w:r>
          </w:p>
        </w:tc>
      </w:tr>
      <w:tr w:rsidR="007177C7" w:rsidRPr="00F66E6A" w14:paraId="4563CE2F" w14:textId="77777777" w:rsidTr="00BE720C">
        <w:trPr>
          <w:trHeight w:val="510"/>
        </w:trPr>
        <w:tc>
          <w:tcPr>
            <w:tcW w:w="2605" w:type="pct"/>
            <w:shd w:val="clear" w:color="auto" w:fill="5B0009"/>
            <w:vAlign w:val="center"/>
          </w:tcPr>
          <w:p w14:paraId="79E8CA63"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First registration date</w:t>
            </w:r>
          </w:p>
        </w:tc>
        <w:tc>
          <w:tcPr>
            <w:tcW w:w="2395" w:type="pct"/>
          </w:tcPr>
          <w:p w14:paraId="6A2B0C2E" w14:textId="1C956059" w:rsidR="007177C7" w:rsidRPr="00CF1D8A" w:rsidRDefault="007177C7" w:rsidP="007177C7">
            <w:pPr>
              <w:rPr>
                <w:rStyle w:val="fontstyle01"/>
                <w:rFonts w:asciiTheme="minorHAnsi" w:eastAsiaTheme="majorEastAsia" w:hAnsiTheme="minorHAnsi" w:cstheme="minorHAnsi"/>
                <w:bCs/>
                <w:iCs/>
                <w:sz w:val="22"/>
                <w:szCs w:val="22"/>
                <w:lang w:val="en-GB"/>
              </w:rPr>
            </w:pPr>
            <w:r>
              <w:rPr>
                <w:rFonts w:ascii="Arial" w:eastAsia="Arial" w:hAnsi="Arial" w:cs="Arial"/>
                <w:color w:val="000000"/>
                <w:sz w:val="22"/>
                <w:szCs w:val="22"/>
              </w:rPr>
              <w:t>2015-06-09</w:t>
            </w:r>
          </w:p>
        </w:tc>
      </w:tr>
      <w:tr w:rsidR="007177C7" w:rsidRPr="00F66E6A" w14:paraId="60BA0DC3" w14:textId="77777777" w:rsidTr="00BE720C">
        <w:trPr>
          <w:trHeight w:val="510"/>
        </w:trPr>
        <w:tc>
          <w:tcPr>
            <w:tcW w:w="2605" w:type="pct"/>
            <w:shd w:val="clear" w:color="auto" w:fill="5B0009"/>
            <w:vAlign w:val="center"/>
          </w:tcPr>
          <w:p w14:paraId="20E9CB06" w14:textId="77777777" w:rsidR="007177C7" w:rsidRPr="002D0027" w:rsidRDefault="007177C7" w:rsidP="007177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395" w:type="pct"/>
          </w:tcPr>
          <w:p w14:paraId="299DEA42" w14:textId="77777777" w:rsidR="007177C7" w:rsidRDefault="007177C7" w:rsidP="007177C7">
            <w:pPr>
              <w:pBdr>
                <w:top w:val="nil"/>
                <w:left w:val="nil"/>
                <w:bottom w:val="nil"/>
                <w:right w:val="nil"/>
                <w:between w:val="nil"/>
              </w:pBdr>
              <w:spacing w:before="134"/>
              <w:rPr>
                <w:b/>
                <w:color w:val="000000"/>
              </w:rPr>
            </w:pPr>
          </w:p>
          <w:p w14:paraId="1DB28A7F" w14:textId="2A30BB19" w:rsidR="007177C7" w:rsidRPr="00CF1D8A" w:rsidRDefault="007177C7" w:rsidP="007177C7">
            <w:pPr>
              <w:rPr>
                <w:rStyle w:val="fontstyle01"/>
                <w:rFonts w:asciiTheme="minorHAnsi" w:eastAsiaTheme="majorEastAsia" w:hAnsiTheme="minorHAnsi" w:cstheme="minorHAnsi"/>
                <w:bCs/>
                <w:iCs/>
                <w:sz w:val="22"/>
                <w:szCs w:val="22"/>
                <w:lang w:val="en-GB"/>
              </w:rPr>
            </w:pPr>
            <w:r>
              <w:rPr>
                <w:rFonts w:ascii="Arial" w:eastAsia="Arial" w:hAnsi="Arial" w:cs="Arial"/>
                <w:color w:val="000000"/>
                <w:sz w:val="22"/>
                <w:szCs w:val="22"/>
              </w:rPr>
              <w:t>N/A</w:t>
            </w:r>
          </w:p>
        </w:tc>
      </w:tr>
    </w:tbl>
    <w:p w14:paraId="5CAEEE12" w14:textId="77777777" w:rsidR="005D0FF7" w:rsidRPr="005D0FF7" w:rsidRDefault="005D0FF7" w:rsidP="005D0FF7">
      <w:pPr>
        <w:rPr>
          <w:rFonts w:asciiTheme="minorHAnsi" w:hAnsiTheme="minorHAnsi" w:cstheme="minorHAnsi"/>
          <w:iCs/>
          <w:color w:val="136C73"/>
          <w:lang w:eastAsia="lt-LT"/>
        </w:rPr>
      </w:pPr>
    </w:p>
    <w:p w14:paraId="468D0B48" w14:textId="0D0C3C9C"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57EB999E" w14:textId="77777777" w:rsidR="005D0FF7" w:rsidRPr="002D0027" w:rsidRDefault="005D0FF7" w:rsidP="005D0FF7">
      <w:pPr>
        <w:rPr>
          <w:rFonts w:ascii="Arial" w:hAnsi="Arial" w:cs="Arial"/>
          <w:lang w:val="en-GB" w:eastAsia="lt-LT"/>
        </w:rPr>
      </w:pPr>
    </w:p>
    <w:p w14:paraId="04712921" w14:textId="79CB9975" w:rsidR="005D0FF7" w:rsidRPr="002D0027" w:rsidRDefault="005D0FF7" w:rsidP="005D0FF7">
      <w:pPr>
        <w:rPr>
          <w:rFonts w:ascii="Arial" w:hAnsi="Arial" w:cs="Arial"/>
          <w:lang w:val="en-GB"/>
        </w:rPr>
      </w:pPr>
      <w:r w:rsidRPr="002D0027">
        <w:rPr>
          <w:rFonts w:ascii="Arial" w:hAnsi="Arial" w:cs="Arial"/>
          <w:lang w:val="en-GB"/>
        </w:rPr>
        <w:t xml:space="preserve">The </w:t>
      </w:r>
      <w:r w:rsidRPr="00F323F3">
        <w:rPr>
          <w:rFonts w:ascii="Arial" w:hAnsi="Arial" w:cs="Arial"/>
          <w:b/>
          <w:bCs/>
          <w:color w:val="5B0009"/>
          <w:lang w:val="en-GB"/>
        </w:rPr>
        <w:t>second cycle</w:t>
      </w:r>
      <w:r w:rsidRPr="00F323F3">
        <w:rPr>
          <w:rFonts w:ascii="Arial" w:hAnsi="Arial" w:cs="Arial"/>
          <w:color w:val="5B0009"/>
          <w:lang w:val="en-GB"/>
        </w:rPr>
        <w:t xml:space="preserve"> </w:t>
      </w:r>
      <w:r w:rsidRPr="002D0027">
        <w:rPr>
          <w:rFonts w:ascii="Arial" w:hAnsi="Arial" w:cs="Arial"/>
          <w:lang w:val="en-GB"/>
        </w:rPr>
        <w:t xml:space="preserve">of the </w:t>
      </w:r>
      <w:r w:rsidR="007177C7">
        <w:rPr>
          <w:rFonts w:ascii="Arial" w:hAnsi="Arial" w:cs="Arial"/>
          <w:lang w:val="en-GB"/>
        </w:rPr>
        <w:t>political science</w:t>
      </w:r>
      <w:r w:rsidRPr="002D0027">
        <w:rPr>
          <w:rFonts w:ascii="Arial" w:hAnsi="Arial" w:cs="Arial"/>
          <w:lang w:val="en-GB"/>
        </w:rPr>
        <w:t xml:space="preserve"> field of study is given a </w:t>
      </w:r>
      <w:r w:rsidRPr="00F323F3">
        <w:rPr>
          <w:rFonts w:ascii="Arial" w:hAnsi="Arial" w:cs="Arial"/>
          <w:b/>
          <w:bCs/>
          <w:color w:val="5B0009"/>
          <w:lang w:val="en-GB"/>
        </w:rPr>
        <w:t>positive</w:t>
      </w:r>
      <w:r w:rsidRPr="00F323F3">
        <w:rPr>
          <w:rFonts w:ascii="Arial" w:hAnsi="Arial" w:cs="Arial"/>
          <w:color w:val="5B0009"/>
          <w:lang w:val="en-GB"/>
        </w:rPr>
        <w:t xml:space="preserve"> </w:t>
      </w:r>
      <w:r w:rsidRPr="002D0027">
        <w:rPr>
          <w:rFonts w:ascii="Arial" w:hAnsi="Arial" w:cs="Arial"/>
          <w:lang w:val="en-GB"/>
        </w:rPr>
        <w:t xml:space="preserve">evaluation. </w:t>
      </w:r>
    </w:p>
    <w:p w14:paraId="04438B98"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84"/>
        <w:gridCol w:w="7237"/>
        <w:gridCol w:w="1864"/>
      </w:tblGrid>
      <w:tr w:rsidR="005D0FF7" w:rsidRPr="002D0027" w14:paraId="5DFAD962" w14:textId="77777777" w:rsidTr="00F50679">
        <w:tc>
          <w:tcPr>
            <w:tcW w:w="67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121"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34"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FootnoteReference"/>
                <w:rFonts w:ascii="Arial" w:eastAsia="Calibri" w:hAnsi="Arial" w:cs="Arial"/>
                <w:iCs/>
                <w:color w:val="5B0009"/>
                <w:lang w:val="en-GB" w:eastAsia="lt-LT"/>
              </w:rPr>
              <w:footnoteReference w:customMarkFollows="1" w:id="1"/>
              <w:sym w:font="Symbol" w:char="F02A"/>
            </w:r>
          </w:p>
        </w:tc>
      </w:tr>
      <w:tr w:rsidR="005D0FF7" w:rsidRPr="002D0027" w14:paraId="1329B84F" w14:textId="77777777" w:rsidTr="00F50679">
        <w:trPr>
          <w:trHeight w:val="397"/>
        </w:trPr>
        <w:tc>
          <w:tcPr>
            <w:tcW w:w="673" w:type="dxa"/>
            <w:vAlign w:val="center"/>
          </w:tcPr>
          <w:p w14:paraId="7B7274C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70F6802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3BA06404" w14:textId="12CB146B"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7DD6EE20" w14:textId="77777777" w:rsidTr="00F50679">
        <w:trPr>
          <w:trHeight w:val="397"/>
        </w:trPr>
        <w:tc>
          <w:tcPr>
            <w:tcW w:w="673" w:type="dxa"/>
            <w:vAlign w:val="center"/>
          </w:tcPr>
          <w:p w14:paraId="429073C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3AB6ABA1"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0CE30F84" w14:textId="13DB0A8A"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6D84AECE" w14:textId="77777777" w:rsidTr="00F50679">
        <w:trPr>
          <w:trHeight w:val="397"/>
        </w:trPr>
        <w:tc>
          <w:tcPr>
            <w:tcW w:w="673" w:type="dxa"/>
            <w:vAlign w:val="center"/>
          </w:tcPr>
          <w:p w14:paraId="397A4427"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22954FD5"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552452AE" w14:textId="5530166A"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365770B9" w14:textId="77777777" w:rsidTr="00F50679">
        <w:trPr>
          <w:trHeight w:val="397"/>
        </w:trPr>
        <w:tc>
          <w:tcPr>
            <w:tcW w:w="673" w:type="dxa"/>
            <w:vAlign w:val="center"/>
          </w:tcPr>
          <w:p w14:paraId="16330DA0"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3F9E5F1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9B3808D" w14:textId="30D8C8E2"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078F1DD8" w14:textId="77777777" w:rsidTr="00F50679">
        <w:trPr>
          <w:trHeight w:val="397"/>
        </w:trPr>
        <w:tc>
          <w:tcPr>
            <w:tcW w:w="673" w:type="dxa"/>
            <w:vAlign w:val="center"/>
          </w:tcPr>
          <w:p w14:paraId="538C3855"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4559E786"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2513E6EF" w14:textId="079F60EB"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2</w:t>
            </w:r>
          </w:p>
        </w:tc>
      </w:tr>
      <w:tr w:rsidR="005D0FF7" w:rsidRPr="002D0027" w14:paraId="0160C964" w14:textId="77777777" w:rsidTr="00F50679">
        <w:trPr>
          <w:trHeight w:val="397"/>
        </w:trPr>
        <w:tc>
          <w:tcPr>
            <w:tcW w:w="673" w:type="dxa"/>
            <w:vAlign w:val="center"/>
          </w:tcPr>
          <w:p w14:paraId="187891BB"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647B777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6FA3FE54" w14:textId="0855D08C"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43247801" w14:textId="77777777" w:rsidTr="00F50679">
        <w:trPr>
          <w:trHeight w:val="397"/>
        </w:trPr>
        <w:tc>
          <w:tcPr>
            <w:tcW w:w="673" w:type="dxa"/>
            <w:vAlign w:val="center"/>
          </w:tcPr>
          <w:p w14:paraId="791AB1F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29D96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3086EC50" w14:textId="5F2E2EAC"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3</w:t>
            </w:r>
          </w:p>
        </w:tc>
      </w:tr>
      <w:tr w:rsidR="005D0FF7" w:rsidRPr="002D0027" w14:paraId="01091953" w14:textId="77777777" w:rsidTr="00F50679">
        <w:trPr>
          <w:trHeight w:val="397"/>
        </w:trPr>
        <w:tc>
          <w:tcPr>
            <w:tcW w:w="7794" w:type="dxa"/>
            <w:gridSpan w:val="2"/>
            <w:vAlign w:val="center"/>
          </w:tcPr>
          <w:p w14:paraId="691C8804"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069AF080" w14:textId="5DD6893F" w:rsidR="005D0FF7" w:rsidRPr="002D0027" w:rsidRDefault="007177C7" w:rsidP="00F50679">
            <w:pPr>
              <w:jc w:val="center"/>
              <w:rPr>
                <w:rFonts w:ascii="Arial" w:eastAsia="Calibri" w:hAnsi="Arial" w:cs="Arial"/>
                <w:iCs/>
                <w:lang w:val="en-GB" w:eastAsia="lt-LT"/>
              </w:rPr>
            </w:pPr>
            <w:r>
              <w:rPr>
                <w:rFonts w:ascii="Arial" w:eastAsia="Calibri" w:hAnsi="Arial" w:cs="Arial"/>
                <w:iCs/>
                <w:lang w:val="en-GB" w:eastAsia="lt-LT"/>
              </w:rPr>
              <w:t>17</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00FBB6C6" w14:textId="539F8CFD" w:rsidR="0043262A"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DB692D">
      <w:pPr>
        <w:pStyle w:val="Heading2"/>
        <w:rPr>
          <w:rFonts w:ascii="Arial" w:hAnsi="Arial" w:cs="Arial"/>
          <w:color w:val="5B0009"/>
          <w:sz w:val="28"/>
          <w:szCs w:val="28"/>
        </w:rPr>
      </w:pPr>
      <w:bookmarkStart w:id="0" w:name="_Toc163583739"/>
      <w:r w:rsidRPr="00882DD0">
        <w:rPr>
          <w:rFonts w:ascii="Arial" w:hAnsi="Arial" w:cs="Arial"/>
          <w:color w:val="5B0009"/>
          <w:sz w:val="28"/>
          <w:szCs w:val="28"/>
        </w:rPr>
        <w:lastRenderedPageBreak/>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6"/>
        <w:gridCol w:w="1747"/>
        <w:gridCol w:w="1608"/>
        <w:gridCol w:w="1608"/>
        <w:gridCol w:w="1608"/>
        <w:gridCol w:w="1608"/>
      </w:tblGrid>
      <w:tr w:rsidR="005D0FF7" w:rsidRPr="002D0027" w14:paraId="59B98F93" w14:textId="77777777" w:rsidTr="00E92A0C">
        <w:tc>
          <w:tcPr>
            <w:tcW w:w="1604"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745"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81E3A2A" w14:textId="77777777" w:rsidTr="00E92A0C">
        <w:tc>
          <w:tcPr>
            <w:tcW w:w="1604" w:type="dxa"/>
            <w:vAlign w:val="center"/>
          </w:tcPr>
          <w:p w14:paraId="78AB2DD2"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5"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A815A8" w14:textId="38305607" w:rsidR="005D0FF7" w:rsidRPr="002D0027" w:rsidRDefault="00E92A0C"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953AD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A337D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4EEFBB1C" w14:textId="77777777" w:rsidR="00B23180" w:rsidRDefault="00B23180" w:rsidP="00DB692D">
      <w:pPr>
        <w:widowControl w:val="0"/>
        <w:numPr>
          <w:ilvl w:val="3"/>
          <w:numId w:val="7"/>
        </w:numPr>
        <w:pBdr>
          <w:top w:val="nil"/>
          <w:left w:val="nil"/>
          <w:bottom w:val="nil"/>
          <w:right w:val="nil"/>
          <w:between w:val="nil"/>
        </w:pBdr>
        <w:tabs>
          <w:tab w:val="left" w:pos="860"/>
        </w:tabs>
        <w:ind w:left="860" w:hanging="358"/>
        <w:jc w:val="both"/>
        <w:rPr>
          <w:color w:val="000000"/>
        </w:rPr>
      </w:pPr>
      <w:r>
        <w:rPr>
          <w:rFonts w:ascii="Arial" w:eastAsia="Arial" w:hAnsi="Arial" w:cs="Arial"/>
          <w:color w:val="000000"/>
          <w:sz w:val="22"/>
          <w:szCs w:val="22"/>
        </w:rPr>
        <w:t>Student satisfaction is high with the small numbers producing a positive experience.</w:t>
      </w:r>
    </w:p>
    <w:p w14:paraId="5DEA1190" w14:textId="77777777" w:rsidR="00B23180" w:rsidRDefault="00B23180" w:rsidP="00DB692D">
      <w:pPr>
        <w:widowControl w:val="0"/>
        <w:numPr>
          <w:ilvl w:val="3"/>
          <w:numId w:val="7"/>
        </w:numPr>
        <w:pBdr>
          <w:top w:val="nil"/>
          <w:left w:val="nil"/>
          <w:bottom w:val="nil"/>
          <w:right w:val="nil"/>
          <w:between w:val="nil"/>
        </w:pBdr>
        <w:tabs>
          <w:tab w:val="left" w:pos="860"/>
        </w:tabs>
        <w:spacing w:before="38"/>
        <w:ind w:left="860" w:hanging="358"/>
        <w:jc w:val="both"/>
        <w:rPr>
          <w:color w:val="000000"/>
        </w:rPr>
      </w:pPr>
      <w:r>
        <w:rPr>
          <w:rFonts w:ascii="Arial" w:eastAsia="Arial" w:hAnsi="Arial" w:cs="Arial"/>
          <w:color w:val="000000"/>
          <w:sz w:val="22"/>
          <w:szCs w:val="22"/>
        </w:rPr>
        <w:t>Very high level of alumni loyalty.</w:t>
      </w:r>
    </w:p>
    <w:p w14:paraId="1DDD9C39" w14:textId="77777777" w:rsidR="005D0FF7" w:rsidRPr="002D0027" w:rsidRDefault="005D0FF7" w:rsidP="00DB692D">
      <w:pPr>
        <w:spacing w:line="276" w:lineRule="auto"/>
        <w:jc w:val="both"/>
        <w:rPr>
          <w:rFonts w:ascii="Arial" w:hAnsi="Arial" w:cs="Arial"/>
          <w:b/>
          <w:bCs/>
          <w:color w:val="136C73"/>
          <w:sz w:val="22"/>
          <w:szCs w:val="22"/>
          <w:lang w:val="en-GB" w:eastAsia="lt-LT"/>
        </w:rPr>
      </w:pPr>
    </w:p>
    <w:p w14:paraId="59BEFCC4" w14:textId="77777777" w:rsidR="005D0FF7" w:rsidRPr="00882DD0" w:rsidRDefault="005D0FF7" w:rsidP="00DB692D">
      <w:pPr>
        <w:spacing w:line="276" w:lineRule="auto"/>
        <w:jc w:val="both"/>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0EF3BEAD" w14:textId="77777777" w:rsidR="005D0FF7" w:rsidRPr="002D0027" w:rsidRDefault="005D0FF7" w:rsidP="00DB692D">
      <w:pPr>
        <w:tabs>
          <w:tab w:val="left" w:pos="1298"/>
          <w:tab w:val="left" w:pos="1985"/>
        </w:tabs>
        <w:spacing w:line="276" w:lineRule="auto"/>
        <w:jc w:val="both"/>
        <w:rPr>
          <w:rFonts w:ascii="Arial" w:eastAsia="Calibri" w:hAnsi="Arial" w:cs="Arial"/>
          <w:iCs/>
          <w:color w:val="136C73"/>
          <w:sz w:val="22"/>
          <w:szCs w:val="22"/>
          <w:lang w:val="en-GB" w:eastAsia="lt-LT"/>
        </w:rPr>
      </w:pPr>
    </w:p>
    <w:p w14:paraId="37E6B3A9" w14:textId="77777777" w:rsidR="005D0FF7" w:rsidRPr="00882DD0"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288738CE"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71A73E89" w14:textId="6C308B24" w:rsidR="002E5370" w:rsidRDefault="002E5370" w:rsidP="00DB692D">
      <w:pPr>
        <w:widowControl w:val="0"/>
        <w:numPr>
          <w:ilvl w:val="0"/>
          <w:numId w:val="8"/>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The programme needs to be refreshed to take account of the changed nature of security both in relation to the geopolitical context and the nature of the discipline</w:t>
      </w:r>
      <w:r w:rsidR="00DB692D">
        <w:rPr>
          <w:rFonts w:ascii="Arial" w:eastAsia="Arial" w:hAnsi="Arial" w:cs="Arial"/>
          <w:color w:val="000000"/>
          <w:sz w:val="22"/>
          <w:szCs w:val="22"/>
        </w:rPr>
        <w:t>.</w:t>
      </w:r>
    </w:p>
    <w:p w14:paraId="3816F8EB" w14:textId="77777777" w:rsidR="002E5370" w:rsidRDefault="002E5370" w:rsidP="00DB692D">
      <w:pPr>
        <w:widowControl w:val="0"/>
        <w:numPr>
          <w:ilvl w:val="0"/>
          <w:numId w:val="8"/>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The programme learning outcomes need to be updated to take account of the suggested refresh and ensure they align more closely with the Faculty vision.</w:t>
      </w:r>
    </w:p>
    <w:p w14:paraId="64581F9E" w14:textId="77777777" w:rsidR="002E5370" w:rsidRDefault="002E5370" w:rsidP="00DB692D">
      <w:pPr>
        <w:widowControl w:val="0"/>
        <w:numPr>
          <w:ilvl w:val="0"/>
          <w:numId w:val="8"/>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Ensure the competences developed on the programme are surfaced with the students to the same degree the knowledge elements are.</w:t>
      </w:r>
    </w:p>
    <w:p w14:paraId="68433D23"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768D6930" w14:textId="77777777" w:rsidR="005D0FF7" w:rsidRPr="00882DD0"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2A0951D9"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5F131F44" w14:textId="77777777" w:rsidR="00FF5768" w:rsidRDefault="00FF5768" w:rsidP="00DB692D">
      <w:pPr>
        <w:widowControl w:val="0"/>
        <w:numPr>
          <w:ilvl w:val="0"/>
          <w:numId w:val="9"/>
        </w:numPr>
        <w:pBdr>
          <w:top w:val="nil"/>
          <w:left w:val="nil"/>
          <w:bottom w:val="nil"/>
          <w:right w:val="nil"/>
          <w:between w:val="nil"/>
        </w:pBdr>
        <w:tabs>
          <w:tab w:val="left" w:pos="860"/>
          <w:tab w:val="left" w:pos="862"/>
        </w:tabs>
        <w:spacing w:line="276" w:lineRule="auto"/>
        <w:ind w:right="108"/>
        <w:jc w:val="both"/>
        <w:rPr>
          <w:color w:val="000000"/>
        </w:rPr>
      </w:pPr>
      <w:r>
        <w:rPr>
          <w:rFonts w:ascii="Arial" w:eastAsia="Arial" w:hAnsi="Arial" w:cs="Arial"/>
          <w:color w:val="000000"/>
          <w:sz w:val="22"/>
          <w:szCs w:val="22"/>
        </w:rPr>
        <w:t>Greater involvement of social partners in the programme (this will help ensure the currency of the programme).</w:t>
      </w:r>
    </w:p>
    <w:p w14:paraId="7BA367D7" w14:textId="77777777" w:rsidR="00FF5768" w:rsidRDefault="00FF5768" w:rsidP="00DB692D">
      <w:pPr>
        <w:widowControl w:val="0"/>
        <w:numPr>
          <w:ilvl w:val="0"/>
          <w:numId w:val="9"/>
        </w:numPr>
        <w:pBdr>
          <w:top w:val="nil"/>
          <w:left w:val="nil"/>
          <w:bottom w:val="nil"/>
          <w:right w:val="nil"/>
          <w:between w:val="nil"/>
        </w:pBdr>
        <w:tabs>
          <w:tab w:val="left" w:pos="860"/>
          <w:tab w:val="left" w:pos="862"/>
        </w:tabs>
        <w:spacing w:line="276" w:lineRule="auto"/>
        <w:ind w:right="120"/>
        <w:jc w:val="both"/>
        <w:rPr>
          <w:color w:val="000000"/>
        </w:rPr>
      </w:pPr>
      <w:r>
        <w:rPr>
          <w:rFonts w:ascii="Arial" w:eastAsia="Arial" w:hAnsi="Arial" w:cs="Arial"/>
          <w:color w:val="000000"/>
          <w:sz w:val="22"/>
          <w:szCs w:val="22"/>
        </w:rPr>
        <w:t>The programme could make more use of the work context of the students in the curriculum (again to ensure currency).</w:t>
      </w:r>
    </w:p>
    <w:p w14:paraId="46D391C6" w14:textId="77777777" w:rsidR="00FF5768" w:rsidRDefault="00FF5768" w:rsidP="00DB692D">
      <w:pPr>
        <w:widowControl w:val="0"/>
        <w:numPr>
          <w:ilvl w:val="0"/>
          <w:numId w:val="9"/>
        </w:numPr>
        <w:pBdr>
          <w:top w:val="nil"/>
          <w:left w:val="nil"/>
          <w:bottom w:val="nil"/>
          <w:right w:val="nil"/>
          <w:between w:val="nil"/>
        </w:pBdr>
        <w:tabs>
          <w:tab w:val="left" w:pos="860"/>
          <w:tab w:val="left" w:pos="862"/>
        </w:tabs>
        <w:spacing w:line="276" w:lineRule="auto"/>
        <w:ind w:right="95"/>
        <w:jc w:val="both"/>
        <w:rPr>
          <w:color w:val="000000"/>
        </w:rPr>
      </w:pPr>
      <w:r>
        <w:rPr>
          <w:rFonts w:ascii="Arial" w:eastAsia="Arial" w:hAnsi="Arial" w:cs="Arial"/>
          <w:color w:val="000000"/>
          <w:sz w:val="22"/>
          <w:szCs w:val="22"/>
        </w:rPr>
        <w:t>Ensure teaching methods (especially for the online element of the programme) enable high levels of active student participation.</w:t>
      </w:r>
    </w:p>
    <w:p w14:paraId="3D8C3DB5" w14:textId="2519A29A" w:rsidR="00FF5768" w:rsidRDefault="00FF5768" w:rsidP="00DB692D">
      <w:pPr>
        <w:widowControl w:val="0"/>
        <w:numPr>
          <w:ilvl w:val="0"/>
          <w:numId w:val="9"/>
        </w:numPr>
        <w:pBdr>
          <w:top w:val="nil"/>
          <w:left w:val="nil"/>
          <w:bottom w:val="nil"/>
          <w:right w:val="nil"/>
          <w:between w:val="nil"/>
        </w:pBdr>
        <w:tabs>
          <w:tab w:val="left" w:pos="860"/>
          <w:tab w:val="left" w:pos="862"/>
        </w:tabs>
        <w:spacing w:line="276" w:lineRule="auto"/>
        <w:ind w:right="14"/>
        <w:jc w:val="both"/>
        <w:rPr>
          <w:color w:val="000000"/>
        </w:rPr>
        <w:sectPr w:rsidR="00FF5768" w:rsidSect="00FF5768">
          <w:pgSz w:w="11920" w:h="16840"/>
          <w:pgMar w:top="1060" w:right="566" w:bottom="760" w:left="1559" w:header="0" w:footer="563" w:gutter="0"/>
          <w:cols w:space="1296"/>
        </w:sectPr>
      </w:pPr>
      <w:r>
        <w:rPr>
          <w:rFonts w:ascii="Arial" w:eastAsia="Arial" w:hAnsi="Arial" w:cs="Arial"/>
          <w:color w:val="000000"/>
          <w:sz w:val="22"/>
          <w:szCs w:val="22"/>
        </w:rPr>
        <w:t>Explore ways to internationalise the student experience, taking into consideration the</w:t>
      </w:r>
      <w:r w:rsidR="00DB692D">
        <w:rPr>
          <w:rFonts w:ascii="Arial" w:eastAsia="Arial" w:hAnsi="Arial" w:cs="Arial"/>
          <w:color w:val="000000"/>
          <w:sz w:val="22"/>
          <w:szCs w:val="22"/>
        </w:rPr>
        <w:t xml:space="preserve"> </w:t>
      </w:r>
      <w:r>
        <w:rPr>
          <w:rFonts w:ascii="Arial" w:eastAsia="Arial" w:hAnsi="Arial" w:cs="Arial"/>
          <w:color w:val="000000"/>
          <w:sz w:val="22"/>
          <w:szCs w:val="22"/>
        </w:rPr>
        <w:t>nature of the student body and their employment situation. The alignment with learning outcome E3 is weak</w:t>
      </w:r>
      <w:r w:rsidR="00DB692D">
        <w:rPr>
          <w:rFonts w:ascii="Arial" w:eastAsia="Arial" w:hAnsi="Arial" w:cs="Arial"/>
          <w:color w:val="000000"/>
          <w:sz w:val="22"/>
          <w:szCs w:val="22"/>
        </w:rPr>
        <w:t>.</w:t>
      </w:r>
    </w:p>
    <w:p w14:paraId="4E846D77" w14:textId="11258EBE" w:rsidR="005D0FF7" w:rsidRPr="00882DD0" w:rsidRDefault="005D0FF7" w:rsidP="00DB692D">
      <w:pPr>
        <w:pStyle w:val="Heading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6"/>
        <w:gridCol w:w="1747"/>
        <w:gridCol w:w="1608"/>
        <w:gridCol w:w="1608"/>
        <w:gridCol w:w="1608"/>
        <w:gridCol w:w="1608"/>
      </w:tblGrid>
      <w:tr w:rsidR="005D0FF7" w:rsidRPr="002D0027" w14:paraId="550D5DB8" w14:textId="77777777" w:rsidTr="00FF5768">
        <w:tc>
          <w:tcPr>
            <w:tcW w:w="1604"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5"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BCFB01A" w14:textId="77777777" w:rsidTr="00FF5768">
        <w:tc>
          <w:tcPr>
            <w:tcW w:w="1604" w:type="dxa"/>
            <w:vAlign w:val="center"/>
          </w:tcPr>
          <w:p w14:paraId="15FB6F91"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5" w:type="dxa"/>
            <w:vAlign w:val="center"/>
          </w:tcPr>
          <w:p w14:paraId="69F3BC5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468DCF1E" w14:textId="3E18FC44" w:rsidR="005D0FF7" w:rsidRPr="002D0027" w:rsidRDefault="00FF576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494F86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AE76C6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B35D8E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4F6F9C02" w14:textId="77777777" w:rsidR="0025220C" w:rsidRDefault="0025220C" w:rsidP="00DB692D">
      <w:pPr>
        <w:widowControl w:val="0"/>
        <w:numPr>
          <w:ilvl w:val="3"/>
          <w:numId w:val="10"/>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Strong focus on supporting students’ academic development by way of conference participation.</w:t>
      </w:r>
    </w:p>
    <w:p w14:paraId="07C0CF7F" w14:textId="77777777" w:rsidR="0025220C" w:rsidRDefault="0025220C" w:rsidP="00DB692D">
      <w:pPr>
        <w:widowControl w:val="0"/>
        <w:numPr>
          <w:ilvl w:val="3"/>
          <w:numId w:val="10"/>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Active use of local sites (city municipality, port of Klaipeda) for learning activities, vital connections with the alumni.</w:t>
      </w:r>
    </w:p>
    <w:p w14:paraId="5B7F647E" w14:textId="77777777" w:rsidR="005D0FF7" w:rsidRPr="002D0027" w:rsidRDefault="005D0FF7" w:rsidP="00DB692D">
      <w:pPr>
        <w:spacing w:line="276" w:lineRule="auto"/>
        <w:ind w:right="14"/>
        <w:jc w:val="both"/>
        <w:rPr>
          <w:rFonts w:ascii="Arial" w:hAnsi="Arial" w:cs="Arial"/>
          <w:b/>
          <w:bCs/>
          <w:color w:val="136C73"/>
          <w:sz w:val="22"/>
          <w:szCs w:val="22"/>
          <w:lang w:val="en-GB" w:eastAsia="lt-LT"/>
        </w:rPr>
      </w:pPr>
    </w:p>
    <w:p w14:paraId="413F2C3D" w14:textId="77777777" w:rsidR="005D0FF7" w:rsidRPr="00882DD0" w:rsidRDefault="005D0FF7" w:rsidP="00DB692D">
      <w:pPr>
        <w:spacing w:line="276" w:lineRule="auto"/>
        <w:ind w:right="14"/>
        <w:jc w:val="both"/>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2F90F14F" w14:textId="77777777" w:rsidR="005D0FF7" w:rsidRPr="002D0027" w:rsidRDefault="005D0FF7" w:rsidP="00DB692D">
      <w:pPr>
        <w:tabs>
          <w:tab w:val="left" w:pos="1298"/>
          <w:tab w:val="left" w:pos="1985"/>
        </w:tabs>
        <w:spacing w:line="276" w:lineRule="auto"/>
        <w:ind w:right="14"/>
        <w:jc w:val="both"/>
        <w:rPr>
          <w:rFonts w:ascii="Arial" w:eastAsia="Calibri" w:hAnsi="Arial" w:cs="Arial"/>
          <w:iCs/>
          <w:color w:val="136C73"/>
          <w:sz w:val="22"/>
          <w:szCs w:val="22"/>
          <w:lang w:val="en-GB" w:eastAsia="lt-LT"/>
        </w:rPr>
      </w:pPr>
    </w:p>
    <w:p w14:paraId="668632AC" w14:textId="77777777" w:rsidR="005D0FF7" w:rsidRPr="00882DD0" w:rsidRDefault="005D0FF7" w:rsidP="00DB692D">
      <w:pPr>
        <w:tabs>
          <w:tab w:val="left" w:pos="1298"/>
          <w:tab w:val="left" w:pos="1985"/>
        </w:tabs>
        <w:spacing w:line="276" w:lineRule="auto"/>
        <w:ind w:right="14"/>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To address shortcomings</w:t>
      </w:r>
    </w:p>
    <w:p w14:paraId="4552DB8F" w14:textId="77777777" w:rsidR="005D0FF7" w:rsidRPr="002D0027" w:rsidRDefault="005D0FF7" w:rsidP="00DB692D">
      <w:pPr>
        <w:tabs>
          <w:tab w:val="left" w:pos="1298"/>
          <w:tab w:val="left" w:pos="1985"/>
        </w:tabs>
        <w:spacing w:line="276" w:lineRule="auto"/>
        <w:ind w:right="14"/>
        <w:jc w:val="both"/>
        <w:rPr>
          <w:rFonts w:ascii="Arial" w:eastAsia="Calibri" w:hAnsi="Arial" w:cs="Arial"/>
          <w:iCs/>
          <w:sz w:val="22"/>
          <w:szCs w:val="22"/>
          <w:lang w:val="en-GB" w:eastAsia="lt-LT"/>
        </w:rPr>
      </w:pPr>
    </w:p>
    <w:p w14:paraId="13777F72" w14:textId="77777777" w:rsidR="00EF3BC2" w:rsidRDefault="00EF3BC2" w:rsidP="00DB692D">
      <w:pPr>
        <w:widowControl w:val="0"/>
        <w:numPr>
          <w:ilvl w:val="0"/>
          <w:numId w:val="11"/>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To define more clearly, what the concept of ‘national security’ entails for the Programme and Department, and how research of the academic staff links to this conceptualisation and to the various aspects of national security within a highly interconnected and increasingly geo-politicised world and (Baltic Sea) region.</w:t>
      </w:r>
    </w:p>
    <w:p w14:paraId="6A60E3B8" w14:textId="77777777" w:rsidR="00EF3BC2" w:rsidRDefault="00EF3BC2" w:rsidP="00DB692D">
      <w:pPr>
        <w:widowControl w:val="0"/>
        <w:numPr>
          <w:ilvl w:val="0"/>
          <w:numId w:val="11"/>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To increase the volume and level of international research output (both publications and projects).</w:t>
      </w:r>
    </w:p>
    <w:p w14:paraId="220D0999" w14:textId="77777777" w:rsidR="00EF3BC2" w:rsidRDefault="00EF3BC2" w:rsidP="00DB692D">
      <w:pPr>
        <w:widowControl w:val="0"/>
        <w:numPr>
          <w:ilvl w:val="0"/>
          <w:numId w:val="11"/>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To ensure that student involvement in applied projects is in line with the National Security studies and contributes to Programme outcomes.</w:t>
      </w:r>
    </w:p>
    <w:p w14:paraId="7BD515DB" w14:textId="77777777" w:rsidR="005D0FF7" w:rsidRPr="002D0027" w:rsidRDefault="005D0FF7" w:rsidP="00DB692D">
      <w:pPr>
        <w:tabs>
          <w:tab w:val="left" w:pos="1298"/>
          <w:tab w:val="left" w:pos="1985"/>
        </w:tabs>
        <w:spacing w:line="276" w:lineRule="auto"/>
        <w:ind w:right="14"/>
        <w:jc w:val="both"/>
        <w:rPr>
          <w:rFonts w:ascii="Arial" w:eastAsia="Calibri" w:hAnsi="Arial" w:cs="Arial"/>
          <w:iCs/>
          <w:sz w:val="22"/>
          <w:szCs w:val="22"/>
          <w:lang w:val="en-GB" w:eastAsia="lt-LT"/>
        </w:rPr>
      </w:pPr>
    </w:p>
    <w:p w14:paraId="38B46054" w14:textId="77777777" w:rsidR="005D0FF7" w:rsidRPr="00882DD0" w:rsidRDefault="005D0FF7" w:rsidP="00DB692D">
      <w:pPr>
        <w:tabs>
          <w:tab w:val="left" w:pos="1298"/>
          <w:tab w:val="left" w:pos="1985"/>
        </w:tabs>
        <w:spacing w:line="276" w:lineRule="auto"/>
        <w:ind w:right="14"/>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DB692D">
      <w:pPr>
        <w:tabs>
          <w:tab w:val="left" w:pos="1298"/>
          <w:tab w:val="left" w:pos="1985"/>
        </w:tabs>
        <w:spacing w:line="276" w:lineRule="auto"/>
        <w:ind w:right="14"/>
        <w:jc w:val="both"/>
        <w:rPr>
          <w:rFonts w:ascii="Arial" w:eastAsia="Calibri" w:hAnsi="Arial" w:cs="Arial"/>
          <w:iCs/>
          <w:sz w:val="22"/>
          <w:szCs w:val="22"/>
          <w:lang w:val="en-GB" w:eastAsia="lt-LT"/>
        </w:rPr>
      </w:pPr>
    </w:p>
    <w:p w14:paraId="7DF3774A" w14:textId="77777777" w:rsidR="001E2976" w:rsidRDefault="001E2976" w:rsidP="00DB692D">
      <w:pPr>
        <w:widowControl w:val="0"/>
        <w:numPr>
          <w:ilvl w:val="0"/>
          <w:numId w:val="12"/>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To work systematically on building research co-operation with non-academic partners in the close (West Lithuanian) region, and with academic partners in Lithuania, Baltic Sea Region and other European coastal regions (including making use of the EU-CONEXUS network).</w:t>
      </w:r>
    </w:p>
    <w:p w14:paraId="00345815" w14:textId="76FA6972" w:rsidR="001E2976" w:rsidRDefault="001E2976" w:rsidP="00DB692D">
      <w:pPr>
        <w:widowControl w:val="0"/>
        <w:numPr>
          <w:ilvl w:val="0"/>
          <w:numId w:val="12"/>
        </w:numPr>
        <w:pBdr>
          <w:top w:val="nil"/>
          <w:left w:val="nil"/>
          <w:bottom w:val="nil"/>
          <w:right w:val="nil"/>
          <w:between w:val="nil"/>
        </w:pBdr>
        <w:tabs>
          <w:tab w:val="left" w:pos="860"/>
          <w:tab w:val="left" w:pos="862"/>
        </w:tabs>
        <w:spacing w:line="276" w:lineRule="auto"/>
        <w:ind w:right="14"/>
        <w:jc w:val="both"/>
        <w:rPr>
          <w:color w:val="000000"/>
        </w:rPr>
        <w:sectPr w:rsidR="001E2976" w:rsidSect="001E2976">
          <w:pgSz w:w="11920" w:h="16840"/>
          <w:pgMar w:top="1100" w:right="566" w:bottom="760" w:left="1559" w:header="0" w:footer="563" w:gutter="0"/>
          <w:cols w:space="1296"/>
        </w:sectPr>
      </w:pPr>
      <w:r>
        <w:rPr>
          <w:rFonts w:ascii="Arial" w:eastAsia="Arial" w:hAnsi="Arial" w:cs="Arial"/>
          <w:color w:val="000000"/>
          <w:sz w:val="22"/>
          <w:szCs w:val="22"/>
        </w:rPr>
        <w:t>To effectively implement the existing regulation on assessing the match between staff members’ research interests and teaching, and guide their fundraising activities accordingly</w:t>
      </w:r>
      <w:r w:rsidR="00DB692D">
        <w:rPr>
          <w:rFonts w:ascii="Arial" w:eastAsia="Arial" w:hAnsi="Arial" w:cs="Arial"/>
          <w:color w:val="000000"/>
          <w:sz w:val="22"/>
          <w:szCs w:val="22"/>
        </w:rPr>
        <w:t>.</w:t>
      </w:r>
    </w:p>
    <w:p w14:paraId="69D39912" w14:textId="43E43C7C" w:rsidR="005D0FF7" w:rsidRPr="009361AA" w:rsidRDefault="005D0FF7" w:rsidP="00DB692D">
      <w:pPr>
        <w:pStyle w:val="Heading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6"/>
        <w:gridCol w:w="1747"/>
        <w:gridCol w:w="1608"/>
        <w:gridCol w:w="1608"/>
        <w:gridCol w:w="1608"/>
        <w:gridCol w:w="1608"/>
      </w:tblGrid>
      <w:tr w:rsidR="005D0FF7" w:rsidRPr="002D0027" w14:paraId="4D1791A0" w14:textId="77777777" w:rsidTr="005A5483">
        <w:tc>
          <w:tcPr>
            <w:tcW w:w="1604"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5"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7CE3F348" w14:textId="77777777" w:rsidTr="005A5483">
        <w:tc>
          <w:tcPr>
            <w:tcW w:w="1604" w:type="dxa"/>
            <w:vAlign w:val="center"/>
          </w:tcPr>
          <w:p w14:paraId="78AB520E"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Second cycle</w:t>
            </w:r>
          </w:p>
        </w:tc>
        <w:tc>
          <w:tcPr>
            <w:tcW w:w="1745"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34D3942F" w14:textId="1814F4FB" w:rsidR="005D0FF7" w:rsidRPr="002D0027" w:rsidRDefault="00FC65B2"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33E8A03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080372DD" w14:textId="77777777" w:rsidR="00071B3B" w:rsidRDefault="00071B3B" w:rsidP="00DB692D">
      <w:pPr>
        <w:widowControl w:val="0"/>
        <w:numPr>
          <w:ilvl w:val="3"/>
          <w:numId w:val="13"/>
        </w:numPr>
        <w:pBdr>
          <w:top w:val="nil"/>
          <w:left w:val="nil"/>
          <w:bottom w:val="nil"/>
          <w:right w:val="nil"/>
          <w:between w:val="nil"/>
        </w:pBdr>
        <w:tabs>
          <w:tab w:val="left" w:pos="860"/>
        </w:tabs>
        <w:spacing w:line="276" w:lineRule="auto"/>
        <w:ind w:left="860" w:hanging="358"/>
        <w:jc w:val="both"/>
        <w:rPr>
          <w:color w:val="000000"/>
        </w:rPr>
      </w:pPr>
      <w:r>
        <w:rPr>
          <w:rFonts w:ascii="Arial" w:eastAsia="Arial" w:hAnsi="Arial" w:cs="Arial"/>
          <w:color w:val="000000"/>
          <w:sz w:val="22"/>
          <w:szCs w:val="22"/>
        </w:rPr>
        <w:t>Well-developed and high-quality support for students on academic or social matters.</w:t>
      </w:r>
    </w:p>
    <w:p w14:paraId="075A4727" w14:textId="77777777" w:rsidR="00071B3B" w:rsidRDefault="00071B3B" w:rsidP="00DB692D">
      <w:pPr>
        <w:widowControl w:val="0"/>
        <w:numPr>
          <w:ilvl w:val="3"/>
          <w:numId w:val="13"/>
        </w:numPr>
        <w:pBdr>
          <w:top w:val="nil"/>
          <w:left w:val="nil"/>
          <w:bottom w:val="nil"/>
          <w:right w:val="nil"/>
          <w:between w:val="nil"/>
        </w:pBdr>
        <w:tabs>
          <w:tab w:val="left" w:pos="860"/>
          <w:tab w:val="left" w:pos="862"/>
        </w:tabs>
        <w:spacing w:line="276" w:lineRule="auto"/>
        <w:ind w:right="63"/>
        <w:jc w:val="both"/>
        <w:rPr>
          <w:color w:val="000000"/>
        </w:rPr>
      </w:pPr>
      <w:r>
        <w:rPr>
          <w:rFonts w:ascii="Arial" w:eastAsia="Arial" w:hAnsi="Arial" w:cs="Arial"/>
          <w:color w:val="000000"/>
          <w:sz w:val="22"/>
          <w:szCs w:val="22"/>
        </w:rPr>
        <w:t>High student satisfaction with the lecturers, faculty staff, their support, and the opportunities offered.</w:t>
      </w:r>
    </w:p>
    <w:p w14:paraId="362B6951" w14:textId="77777777" w:rsidR="005D0FF7" w:rsidRPr="002D0027" w:rsidRDefault="005D0FF7" w:rsidP="00DB692D">
      <w:pPr>
        <w:spacing w:line="276" w:lineRule="auto"/>
        <w:jc w:val="both"/>
        <w:rPr>
          <w:rFonts w:ascii="Arial" w:hAnsi="Arial" w:cs="Arial"/>
          <w:b/>
          <w:bCs/>
          <w:color w:val="136C73"/>
          <w:sz w:val="22"/>
          <w:szCs w:val="22"/>
          <w:lang w:val="en-GB" w:eastAsia="lt-LT"/>
        </w:rPr>
      </w:pPr>
    </w:p>
    <w:p w14:paraId="3A741AD9" w14:textId="77777777" w:rsidR="005D0FF7" w:rsidRPr="009361AA" w:rsidRDefault="005D0FF7" w:rsidP="00DB692D">
      <w:pPr>
        <w:spacing w:line="276" w:lineRule="auto"/>
        <w:jc w:val="both"/>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1336C92E" w14:textId="77777777" w:rsidR="005D0FF7" w:rsidRPr="002D0027" w:rsidRDefault="005D0FF7" w:rsidP="00DB692D">
      <w:pPr>
        <w:tabs>
          <w:tab w:val="left" w:pos="1298"/>
          <w:tab w:val="left" w:pos="1985"/>
        </w:tabs>
        <w:spacing w:line="276" w:lineRule="auto"/>
        <w:jc w:val="both"/>
        <w:rPr>
          <w:rFonts w:ascii="Arial" w:eastAsia="Calibri" w:hAnsi="Arial" w:cs="Arial"/>
          <w:iCs/>
          <w:color w:val="136C73"/>
          <w:sz w:val="22"/>
          <w:szCs w:val="22"/>
          <w:lang w:val="en-GB" w:eastAsia="lt-LT"/>
        </w:rPr>
      </w:pPr>
    </w:p>
    <w:p w14:paraId="37D0B517" w14:textId="77777777" w:rsidR="005D0FF7" w:rsidRPr="009361AA"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To address shortcomings</w:t>
      </w:r>
    </w:p>
    <w:p w14:paraId="5CC002DA"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244EF0A9" w14:textId="77777777" w:rsidR="002B5498" w:rsidRPr="00D42AB8" w:rsidRDefault="002B5498" w:rsidP="00DB692D">
      <w:pPr>
        <w:widowControl w:val="0"/>
        <w:numPr>
          <w:ilvl w:val="0"/>
          <w:numId w:val="14"/>
        </w:numPr>
        <w:pBdr>
          <w:top w:val="nil"/>
          <w:left w:val="nil"/>
          <w:bottom w:val="nil"/>
          <w:right w:val="nil"/>
          <w:between w:val="nil"/>
        </w:pBdr>
        <w:tabs>
          <w:tab w:val="left" w:pos="860"/>
        </w:tabs>
        <w:spacing w:line="276" w:lineRule="auto"/>
        <w:ind w:left="860" w:hanging="358"/>
        <w:jc w:val="both"/>
        <w:rPr>
          <w:color w:val="000000"/>
        </w:rPr>
      </w:pPr>
      <w:r>
        <w:rPr>
          <w:rFonts w:ascii="Arial" w:eastAsia="Arial" w:hAnsi="Arial" w:cs="Arial"/>
          <w:color w:val="000000"/>
          <w:sz w:val="22"/>
          <w:szCs w:val="22"/>
        </w:rPr>
        <w:t>To increase the number of students, with collaboration from social partners and alumni.</w:t>
      </w:r>
    </w:p>
    <w:p w14:paraId="03734BA1" w14:textId="77777777" w:rsidR="002B5498" w:rsidRDefault="002B5498" w:rsidP="00DB692D">
      <w:pPr>
        <w:widowControl w:val="0"/>
        <w:numPr>
          <w:ilvl w:val="0"/>
          <w:numId w:val="14"/>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To explore new strategies for promoting the programme, with a stronger emphasis on its significance to the region, as well as greater involvement of social partners and alumni.</w:t>
      </w:r>
    </w:p>
    <w:p w14:paraId="214F5199"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11E31F15" w14:textId="56984327" w:rsidR="003D3BBB" w:rsidRDefault="003D3BBB" w:rsidP="00DB692D">
      <w:pPr>
        <w:widowControl w:val="0"/>
        <w:numPr>
          <w:ilvl w:val="0"/>
          <w:numId w:val="15"/>
        </w:numPr>
        <w:pBdr>
          <w:top w:val="nil"/>
          <w:left w:val="nil"/>
          <w:bottom w:val="nil"/>
          <w:right w:val="nil"/>
          <w:between w:val="nil"/>
        </w:pBdr>
        <w:tabs>
          <w:tab w:val="left" w:pos="862"/>
          <w:tab w:val="left" w:pos="896"/>
        </w:tabs>
        <w:spacing w:line="276" w:lineRule="auto"/>
        <w:ind w:right="35" w:hanging="360"/>
        <w:jc w:val="both"/>
        <w:rPr>
          <w:color w:val="000000"/>
        </w:rPr>
        <w:sectPr w:rsidR="003D3BBB" w:rsidSect="003D3BBB">
          <w:pgSz w:w="11920" w:h="16840"/>
          <w:pgMar w:top="1060" w:right="566" w:bottom="760" w:left="1559" w:header="0" w:footer="563" w:gutter="0"/>
          <w:cols w:space="1296"/>
        </w:sectPr>
      </w:pPr>
      <w:r>
        <w:rPr>
          <w:rFonts w:ascii="Arial" w:eastAsia="Arial" w:hAnsi="Arial" w:cs="Arial"/>
          <w:color w:val="000000"/>
          <w:sz w:val="22"/>
          <w:szCs w:val="22"/>
        </w:rPr>
        <w:t>To actively seek BIP or other exchange opportunities and encourage students to participate in them.</w:t>
      </w:r>
    </w:p>
    <w:p w14:paraId="5CC51202" w14:textId="76AD0C3C" w:rsidR="005D0FF7" w:rsidRPr="0084778A" w:rsidRDefault="005D0FF7" w:rsidP="00DB692D">
      <w:pPr>
        <w:pStyle w:val="Heading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6"/>
        <w:gridCol w:w="1747"/>
        <w:gridCol w:w="1608"/>
        <w:gridCol w:w="1608"/>
        <w:gridCol w:w="1608"/>
        <w:gridCol w:w="1608"/>
      </w:tblGrid>
      <w:tr w:rsidR="005D0FF7" w:rsidRPr="002D0027" w14:paraId="7BE9AAB9" w14:textId="77777777" w:rsidTr="00431E0D">
        <w:tc>
          <w:tcPr>
            <w:tcW w:w="1604"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5"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07E8004" w14:textId="77777777" w:rsidTr="00431E0D">
        <w:tc>
          <w:tcPr>
            <w:tcW w:w="1604" w:type="dxa"/>
            <w:vAlign w:val="center"/>
          </w:tcPr>
          <w:p w14:paraId="01E22CA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Second cycle</w:t>
            </w:r>
          </w:p>
        </w:tc>
        <w:tc>
          <w:tcPr>
            <w:tcW w:w="1745"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E788CD1" w14:textId="726EC2D3" w:rsidR="005D0FF7" w:rsidRPr="002D0027" w:rsidRDefault="00431E0D"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51BF0C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95A53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0D1819B0" w14:textId="77777777" w:rsidR="00BF2561" w:rsidRDefault="00BF2561" w:rsidP="00DB692D">
      <w:pPr>
        <w:widowControl w:val="0"/>
        <w:numPr>
          <w:ilvl w:val="3"/>
          <w:numId w:val="16"/>
        </w:numPr>
        <w:pBdr>
          <w:top w:val="nil"/>
          <w:left w:val="nil"/>
          <w:bottom w:val="nil"/>
          <w:right w:val="nil"/>
          <w:between w:val="nil"/>
        </w:pBdr>
        <w:tabs>
          <w:tab w:val="left" w:pos="860"/>
          <w:tab w:val="left" w:pos="862"/>
        </w:tabs>
        <w:spacing w:line="276" w:lineRule="auto"/>
        <w:ind w:right="15"/>
        <w:jc w:val="both"/>
        <w:rPr>
          <w:color w:val="000000"/>
        </w:rPr>
      </w:pPr>
      <w:r>
        <w:rPr>
          <w:rFonts w:ascii="Arial" w:eastAsia="Arial" w:hAnsi="Arial" w:cs="Arial"/>
          <w:color w:val="000000"/>
          <w:sz w:val="22"/>
          <w:szCs w:val="22"/>
        </w:rPr>
        <w:t>There is a positive trend toward specialisation, with initiatives like the Blue Growth Leaders Academy. Positive links seem to exist with the navy, some government institutions (e.g., State security department). The programme has high potential of further specialisation including building links with the port (e.g. addressing smuggling and migration challenges), further developing sea sciences and providing good geographical alternatives to similar degrees in the capital region.</w:t>
      </w:r>
    </w:p>
    <w:p w14:paraId="709E3453" w14:textId="77777777" w:rsidR="00BF2561" w:rsidRDefault="00BF2561" w:rsidP="00DB692D">
      <w:pPr>
        <w:widowControl w:val="0"/>
        <w:numPr>
          <w:ilvl w:val="3"/>
          <w:numId w:val="16"/>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The programme seems to have a positive image among current students, alumni and some social partners involved in the programme. This potential can be much better exploited than it currently is.</w:t>
      </w: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36001AB8" w14:textId="77777777" w:rsidR="005D0FF7" w:rsidRPr="002D0027" w:rsidRDefault="005D0FF7" w:rsidP="00CF1D8A">
      <w:pPr>
        <w:tabs>
          <w:tab w:val="left" w:pos="1298"/>
          <w:tab w:val="left" w:pos="1985"/>
        </w:tabs>
        <w:spacing w:line="276" w:lineRule="auto"/>
        <w:jc w:val="both"/>
        <w:rPr>
          <w:rFonts w:ascii="Arial" w:eastAsia="Calibri" w:hAnsi="Arial" w:cs="Arial"/>
          <w:iCs/>
          <w:color w:val="136C73"/>
          <w:sz w:val="22"/>
          <w:szCs w:val="22"/>
          <w:lang w:val="en-GB" w:eastAsia="lt-LT"/>
        </w:rPr>
      </w:pPr>
    </w:p>
    <w:p w14:paraId="3D0DCE93"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To address shortcomings</w:t>
      </w:r>
    </w:p>
    <w:p w14:paraId="55BAAD0D"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A481096" w14:textId="77777777" w:rsidR="009A1675" w:rsidRPr="00745DB6" w:rsidRDefault="009A1675" w:rsidP="00DB692D">
      <w:pPr>
        <w:widowControl w:val="0"/>
        <w:numPr>
          <w:ilvl w:val="0"/>
          <w:numId w:val="17"/>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Management and administrative staff should take more ownership of the programme and lead efforts in streamlining its identity. Management and administrative staff, and teachers need to innovate more, so they provide higher value to students building on the region's strengths outlined above. Efforts in this regard may include, for example, better marketing, specialisation, involvement of social partners and alumni, proactive work with government. Based on alumni opinions, the programme needs to better consider its global context, set a better balance between classical threats and contemporary issues, and add strategy and policy incl. military points of view</w:t>
      </w:r>
      <w:r>
        <w:rPr>
          <w:color w:val="000000"/>
        </w:rPr>
        <w:t>.</w:t>
      </w:r>
    </w:p>
    <w:p w14:paraId="09B1071D" w14:textId="77777777" w:rsidR="009A1675" w:rsidRDefault="009A1675" w:rsidP="00DB692D">
      <w:pPr>
        <w:widowControl w:val="0"/>
        <w:numPr>
          <w:ilvl w:val="0"/>
          <w:numId w:val="17"/>
        </w:numPr>
        <w:pBdr>
          <w:top w:val="nil"/>
          <w:left w:val="nil"/>
          <w:bottom w:val="nil"/>
          <w:right w:val="nil"/>
          <w:between w:val="nil"/>
        </w:pBdr>
        <w:tabs>
          <w:tab w:val="left" w:pos="860"/>
          <w:tab w:val="left" w:pos="862"/>
        </w:tabs>
        <w:spacing w:line="276" w:lineRule="auto"/>
        <w:ind w:right="14"/>
        <w:jc w:val="both"/>
        <w:rPr>
          <w:color w:val="000000"/>
        </w:rPr>
      </w:pPr>
      <w:r>
        <w:rPr>
          <w:rFonts w:ascii="Arial" w:eastAsia="Arial" w:hAnsi="Arial" w:cs="Arial"/>
          <w:color w:val="000000"/>
          <w:sz w:val="22"/>
          <w:szCs w:val="22"/>
        </w:rPr>
        <w:t>The university needs to further adapt the building of the Faculty of Social Sciences and Humanities to students with individual needs (i.e. access to higher floors is restricted as there is no elevator; toilets in the first floor need renovation so they are more accessible). Although students with individual needs are all expected to request help, not all of them may do that. Proactive role of university staff is very important in offering support to address their individual needs.</w:t>
      </w:r>
    </w:p>
    <w:p w14:paraId="676A94FC" w14:textId="77777777" w:rsidR="009A1675" w:rsidRDefault="009A1675" w:rsidP="00DB692D">
      <w:pPr>
        <w:widowControl w:val="0"/>
        <w:numPr>
          <w:ilvl w:val="0"/>
          <w:numId w:val="17"/>
        </w:numPr>
        <w:pBdr>
          <w:top w:val="nil"/>
          <w:left w:val="nil"/>
          <w:bottom w:val="nil"/>
          <w:right w:val="nil"/>
          <w:between w:val="nil"/>
        </w:pBdr>
        <w:tabs>
          <w:tab w:val="left" w:pos="860"/>
          <w:tab w:val="left" w:pos="862"/>
        </w:tabs>
        <w:spacing w:line="276" w:lineRule="auto"/>
        <w:ind w:right="13"/>
        <w:jc w:val="both"/>
        <w:rPr>
          <w:color w:val="000000"/>
        </w:rPr>
      </w:pPr>
      <w:r>
        <w:rPr>
          <w:rFonts w:ascii="Arial" w:eastAsia="Arial" w:hAnsi="Arial" w:cs="Arial"/>
          <w:color w:val="000000"/>
          <w:sz w:val="22"/>
          <w:szCs w:val="22"/>
        </w:rPr>
        <w:t>More entrepreneurship is needed for involving social partners in programme development. Efforts may include more frequent sharing of student achievements in the local media, better promoting the programme at the student conference and other events, seek more active feedback from employers and alumni through surveys and other means (e.g. group discussions) to identify and build on synergies.</w:t>
      </w:r>
    </w:p>
    <w:p w14:paraId="7EE28340" w14:textId="77777777" w:rsidR="009A1675" w:rsidRDefault="009A1675" w:rsidP="00DB692D">
      <w:pPr>
        <w:widowControl w:val="0"/>
        <w:numPr>
          <w:ilvl w:val="0"/>
          <w:numId w:val="17"/>
        </w:numPr>
        <w:pBdr>
          <w:top w:val="nil"/>
          <w:left w:val="nil"/>
          <w:bottom w:val="nil"/>
          <w:right w:val="nil"/>
          <w:between w:val="nil"/>
        </w:pBdr>
        <w:tabs>
          <w:tab w:val="left" w:pos="860"/>
          <w:tab w:val="left" w:pos="862"/>
        </w:tabs>
        <w:spacing w:line="276" w:lineRule="auto"/>
        <w:ind w:right="16"/>
        <w:jc w:val="both"/>
        <w:rPr>
          <w:color w:val="000000"/>
        </w:rPr>
      </w:pPr>
      <w:r>
        <w:rPr>
          <w:rFonts w:ascii="Arial" w:eastAsia="Arial" w:hAnsi="Arial" w:cs="Arial"/>
          <w:color w:val="000000"/>
          <w:sz w:val="22"/>
          <w:szCs w:val="22"/>
        </w:rPr>
        <w:t>New alternative ways to collect employment statistics covering programme’s graduates are recommended. Instead of trying to collect Employment service data, universities could call each graduate strictly following GDPR requirements.</w:t>
      </w:r>
    </w:p>
    <w:p w14:paraId="52D22A2E" w14:textId="77777777" w:rsidR="009A1675" w:rsidRDefault="009A1675" w:rsidP="00DB692D">
      <w:pPr>
        <w:widowControl w:val="0"/>
        <w:numPr>
          <w:ilvl w:val="0"/>
          <w:numId w:val="17"/>
        </w:numPr>
        <w:pBdr>
          <w:top w:val="nil"/>
          <w:left w:val="nil"/>
          <w:bottom w:val="nil"/>
          <w:right w:val="nil"/>
          <w:between w:val="nil"/>
        </w:pBdr>
        <w:tabs>
          <w:tab w:val="left" w:pos="860"/>
          <w:tab w:val="left" w:pos="862"/>
        </w:tabs>
        <w:spacing w:line="276" w:lineRule="auto"/>
        <w:ind w:right="17"/>
        <w:jc w:val="both"/>
        <w:rPr>
          <w:color w:val="000000"/>
        </w:rPr>
      </w:pPr>
      <w:r>
        <w:rPr>
          <w:rFonts w:ascii="Arial" w:eastAsia="Arial" w:hAnsi="Arial" w:cs="Arial"/>
          <w:color w:val="000000"/>
          <w:sz w:val="22"/>
          <w:szCs w:val="22"/>
        </w:rPr>
        <w:t xml:space="preserve">Procedures and policies for ensuring access to higher education, for ensuring academic integrity, tolerance, and non-discrimination and for submitting and processing appeals and </w:t>
      </w:r>
      <w:r>
        <w:rPr>
          <w:rFonts w:ascii="Arial" w:eastAsia="Arial" w:hAnsi="Arial" w:cs="Arial"/>
          <w:color w:val="000000"/>
          <w:sz w:val="22"/>
          <w:szCs w:val="22"/>
        </w:rPr>
        <w:lastRenderedPageBreak/>
        <w:t>complaints need to be tested in real practical situations and further improved in case gaps are detected.</w:t>
      </w:r>
    </w:p>
    <w:p w14:paraId="118AA450"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6E6B1F60" w14:textId="77777777" w:rsidR="005D0FF7" w:rsidRPr="002D0027" w:rsidRDefault="005D0FF7" w:rsidP="00DB692D">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E9FA003" w14:textId="42234120" w:rsidR="005D0FF7" w:rsidRPr="0084778A" w:rsidRDefault="005D0FF7" w:rsidP="005D0FF7">
      <w:pPr>
        <w:pStyle w:val="Heading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6"/>
        <w:gridCol w:w="1747"/>
        <w:gridCol w:w="1608"/>
        <w:gridCol w:w="1608"/>
        <w:gridCol w:w="1608"/>
        <w:gridCol w:w="1608"/>
      </w:tblGrid>
      <w:tr w:rsidR="005D0FF7" w:rsidRPr="002D0027" w14:paraId="108F2FD9" w14:textId="77777777" w:rsidTr="00B6232E">
        <w:tc>
          <w:tcPr>
            <w:tcW w:w="1604"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5"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7C87729" w14:textId="77777777" w:rsidTr="00B6232E">
        <w:tc>
          <w:tcPr>
            <w:tcW w:w="1604" w:type="dxa"/>
            <w:vAlign w:val="center"/>
          </w:tcPr>
          <w:p w14:paraId="1AF1220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350BE58" w14:textId="78FD692D" w:rsidR="005D0FF7" w:rsidRPr="002D0027" w:rsidRDefault="00B6232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1BA2E22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52CBB8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51ABEE56" w14:textId="77777777" w:rsidR="00646048" w:rsidRDefault="00646048" w:rsidP="00DB692D">
      <w:pPr>
        <w:widowControl w:val="0"/>
        <w:numPr>
          <w:ilvl w:val="3"/>
          <w:numId w:val="18"/>
        </w:numPr>
        <w:pBdr>
          <w:top w:val="nil"/>
          <w:left w:val="nil"/>
          <w:bottom w:val="nil"/>
          <w:right w:val="nil"/>
          <w:between w:val="nil"/>
        </w:pBdr>
        <w:tabs>
          <w:tab w:val="left" w:pos="860"/>
        </w:tabs>
        <w:spacing w:before="1" w:line="276" w:lineRule="auto"/>
        <w:ind w:left="860" w:hanging="358"/>
        <w:jc w:val="both"/>
        <w:rPr>
          <w:color w:val="000000"/>
        </w:rPr>
      </w:pPr>
      <w:r>
        <w:rPr>
          <w:rFonts w:ascii="Arial" w:eastAsia="Arial" w:hAnsi="Arial" w:cs="Arial"/>
          <w:color w:val="000000"/>
          <w:sz w:val="22"/>
          <w:szCs w:val="22"/>
        </w:rPr>
        <w:t>Participation in professional development has been growing over the past few years.</w:t>
      </w:r>
    </w:p>
    <w:p w14:paraId="4BE33E3F" w14:textId="77777777" w:rsidR="00646048" w:rsidRDefault="00646048" w:rsidP="00DB692D">
      <w:pPr>
        <w:widowControl w:val="0"/>
        <w:numPr>
          <w:ilvl w:val="3"/>
          <w:numId w:val="18"/>
        </w:numPr>
        <w:pBdr>
          <w:top w:val="nil"/>
          <w:left w:val="nil"/>
          <w:bottom w:val="nil"/>
          <w:right w:val="nil"/>
          <w:between w:val="nil"/>
        </w:pBdr>
        <w:tabs>
          <w:tab w:val="left" w:pos="860"/>
          <w:tab w:val="left" w:pos="862"/>
        </w:tabs>
        <w:spacing w:line="276" w:lineRule="auto"/>
        <w:jc w:val="both"/>
        <w:rPr>
          <w:color w:val="000000"/>
        </w:rPr>
      </w:pPr>
      <w:r>
        <w:rPr>
          <w:rFonts w:ascii="Arial" w:eastAsia="Arial" w:hAnsi="Arial" w:cs="Arial"/>
          <w:color w:val="000000"/>
          <w:sz w:val="22"/>
          <w:szCs w:val="22"/>
        </w:rPr>
        <w:t>The instructors of the Programme National Security receive high scores in terms of students’ and social partners’ satisfaction.</w:t>
      </w:r>
    </w:p>
    <w:p w14:paraId="18C9CA36" w14:textId="77777777" w:rsidR="005D0FF7" w:rsidRPr="002D0027" w:rsidRDefault="005D0FF7" w:rsidP="00DB692D">
      <w:pPr>
        <w:spacing w:line="276" w:lineRule="auto"/>
        <w:jc w:val="both"/>
        <w:rPr>
          <w:rFonts w:ascii="Arial" w:hAnsi="Arial" w:cs="Arial"/>
          <w:b/>
          <w:bCs/>
          <w:color w:val="136C73"/>
          <w:sz w:val="22"/>
          <w:szCs w:val="22"/>
          <w:lang w:val="en-GB" w:eastAsia="lt-LT"/>
        </w:rPr>
      </w:pPr>
    </w:p>
    <w:p w14:paraId="105F2707" w14:textId="77777777" w:rsidR="005D0FF7" w:rsidRPr="0097182D" w:rsidRDefault="005D0FF7" w:rsidP="00DB692D">
      <w:pPr>
        <w:spacing w:line="276" w:lineRule="auto"/>
        <w:jc w:val="both"/>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2D68EDDE" w14:textId="77777777" w:rsidR="005D0FF7" w:rsidRPr="002D0027" w:rsidRDefault="005D0FF7" w:rsidP="00DB692D">
      <w:pPr>
        <w:tabs>
          <w:tab w:val="left" w:pos="1298"/>
          <w:tab w:val="left" w:pos="1985"/>
        </w:tabs>
        <w:spacing w:line="276" w:lineRule="auto"/>
        <w:jc w:val="both"/>
        <w:rPr>
          <w:rFonts w:ascii="Arial" w:eastAsia="Calibri" w:hAnsi="Arial" w:cs="Arial"/>
          <w:iCs/>
          <w:color w:val="136C73"/>
          <w:sz w:val="22"/>
          <w:szCs w:val="22"/>
          <w:lang w:val="en-GB" w:eastAsia="lt-LT"/>
        </w:rPr>
      </w:pPr>
    </w:p>
    <w:p w14:paraId="2D7A2B93" w14:textId="77777777" w:rsidR="005D0FF7" w:rsidRPr="0097182D"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42E67CA5"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508602C5" w14:textId="77777777" w:rsidR="001D41D8" w:rsidRDefault="001D41D8" w:rsidP="00DB692D">
      <w:pPr>
        <w:widowControl w:val="0"/>
        <w:numPr>
          <w:ilvl w:val="0"/>
          <w:numId w:val="19"/>
        </w:numPr>
        <w:pBdr>
          <w:top w:val="nil"/>
          <w:left w:val="nil"/>
          <w:bottom w:val="nil"/>
          <w:right w:val="nil"/>
          <w:between w:val="nil"/>
        </w:pBdr>
        <w:tabs>
          <w:tab w:val="left" w:pos="860"/>
          <w:tab w:val="left" w:pos="862"/>
        </w:tabs>
        <w:spacing w:line="276" w:lineRule="auto"/>
        <w:jc w:val="both"/>
        <w:rPr>
          <w:color w:val="000000"/>
        </w:rPr>
      </w:pPr>
      <w:r>
        <w:rPr>
          <w:rFonts w:ascii="Arial" w:eastAsia="Arial" w:hAnsi="Arial" w:cs="Arial"/>
          <w:color w:val="000000"/>
          <w:sz w:val="22"/>
          <w:szCs w:val="22"/>
        </w:rPr>
        <w:t>To explore strengths as a regional university and Lithuania’s connection to the Baltic Sea both in terms of teaching and research related to the Programme National Security.</w:t>
      </w:r>
    </w:p>
    <w:p w14:paraId="4025229F" w14:textId="77777777" w:rsidR="001D41D8" w:rsidRDefault="001D41D8" w:rsidP="00DB692D">
      <w:pPr>
        <w:widowControl w:val="0"/>
        <w:numPr>
          <w:ilvl w:val="0"/>
          <w:numId w:val="19"/>
        </w:numPr>
        <w:pBdr>
          <w:top w:val="nil"/>
          <w:left w:val="nil"/>
          <w:bottom w:val="nil"/>
          <w:right w:val="nil"/>
          <w:between w:val="nil"/>
        </w:pBdr>
        <w:tabs>
          <w:tab w:val="left" w:pos="860"/>
          <w:tab w:val="left" w:pos="862"/>
        </w:tabs>
        <w:spacing w:line="276" w:lineRule="auto"/>
        <w:jc w:val="both"/>
        <w:rPr>
          <w:color w:val="000000"/>
        </w:rPr>
      </w:pPr>
      <w:r>
        <w:rPr>
          <w:rFonts w:ascii="Arial" w:eastAsia="Arial" w:hAnsi="Arial" w:cs="Arial"/>
          <w:color w:val="000000"/>
          <w:sz w:val="22"/>
          <w:szCs w:val="22"/>
        </w:rPr>
        <w:t>To make an effort for external hires (from outside the region as a bare minimum) to internationalize (if possible) and expand the research base of staff and to prepare for the generational shift.</w:t>
      </w:r>
    </w:p>
    <w:p w14:paraId="6BAE0C8B" w14:textId="77777777" w:rsidR="001D41D8" w:rsidRDefault="001D41D8" w:rsidP="00DB692D">
      <w:pPr>
        <w:widowControl w:val="0"/>
        <w:numPr>
          <w:ilvl w:val="0"/>
          <w:numId w:val="19"/>
        </w:numPr>
        <w:pBdr>
          <w:top w:val="nil"/>
          <w:left w:val="nil"/>
          <w:bottom w:val="nil"/>
          <w:right w:val="nil"/>
          <w:between w:val="nil"/>
        </w:pBdr>
        <w:tabs>
          <w:tab w:val="left" w:pos="860"/>
          <w:tab w:val="left" w:pos="862"/>
        </w:tabs>
        <w:spacing w:line="276" w:lineRule="auto"/>
        <w:jc w:val="both"/>
        <w:rPr>
          <w:color w:val="000000"/>
        </w:rPr>
      </w:pPr>
      <w:r>
        <w:rPr>
          <w:rFonts w:ascii="Arial" w:eastAsia="Arial" w:hAnsi="Arial" w:cs="Arial"/>
          <w:color w:val="000000"/>
          <w:sz w:val="22"/>
          <w:szCs w:val="22"/>
        </w:rPr>
        <w:t>To increase international visibility of the National Security Programme and its staff (e.g. via marketing and presentation on the KU website).</w:t>
      </w:r>
    </w:p>
    <w:p w14:paraId="35A92314"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Pr="0097182D"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16ACC7ED" w14:textId="77777777" w:rsidR="00135BB1" w:rsidRDefault="00135BB1" w:rsidP="00DB692D">
      <w:pPr>
        <w:widowControl w:val="0"/>
        <w:numPr>
          <w:ilvl w:val="0"/>
          <w:numId w:val="20"/>
        </w:numPr>
        <w:pBdr>
          <w:top w:val="nil"/>
          <w:left w:val="nil"/>
          <w:bottom w:val="nil"/>
          <w:right w:val="nil"/>
          <w:between w:val="nil"/>
        </w:pBdr>
        <w:tabs>
          <w:tab w:val="left" w:pos="860"/>
          <w:tab w:val="left" w:pos="862"/>
        </w:tabs>
        <w:spacing w:line="276" w:lineRule="auto"/>
        <w:jc w:val="both"/>
        <w:rPr>
          <w:color w:val="000000"/>
        </w:rPr>
      </w:pPr>
      <w:r>
        <w:rPr>
          <w:rFonts w:ascii="Arial" w:eastAsia="Arial" w:hAnsi="Arial" w:cs="Arial"/>
          <w:color w:val="000000"/>
          <w:sz w:val="22"/>
          <w:szCs w:val="22"/>
        </w:rPr>
        <w:t>To consider using opportunities provided by KU membership in EU-CONEXUS and Erasmus+ more strategically.</w:t>
      </w:r>
    </w:p>
    <w:p w14:paraId="7D7E80C6" w14:textId="6EEEAA6F" w:rsidR="00135BB1" w:rsidRDefault="00135BB1" w:rsidP="00DB692D">
      <w:pPr>
        <w:widowControl w:val="0"/>
        <w:numPr>
          <w:ilvl w:val="0"/>
          <w:numId w:val="20"/>
        </w:numPr>
        <w:pBdr>
          <w:top w:val="nil"/>
          <w:left w:val="nil"/>
          <w:bottom w:val="nil"/>
          <w:right w:val="nil"/>
          <w:between w:val="nil"/>
        </w:pBdr>
        <w:tabs>
          <w:tab w:val="left" w:pos="860"/>
          <w:tab w:val="left" w:pos="862"/>
        </w:tabs>
        <w:spacing w:before="1" w:line="276" w:lineRule="auto"/>
        <w:jc w:val="both"/>
        <w:rPr>
          <w:color w:val="000000"/>
        </w:rPr>
        <w:sectPr w:rsidR="00135BB1" w:rsidSect="00135BB1">
          <w:pgSz w:w="11920" w:h="16840"/>
          <w:pgMar w:top="1100" w:right="566" w:bottom="760" w:left="1559" w:header="0" w:footer="563" w:gutter="0"/>
          <w:cols w:space="1296"/>
        </w:sectPr>
      </w:pPr>
      <w:r>
        <w:rPr>
          <w:rFonts w:ascii="Arial" w:eastAsia="Arial" w:hAnsi="Arial" w:cs="Arial"/>
          <w:color w:val="000000"/>
          <w:sz w:val="22"/>
          <w:szCs w:val="22"/>
        </w:rPr>
        <w:t>To consider strategic participation in national and European projects (e.g., Horizon Europe) to develop the research portfolio further</w:t>
      </w:r>
      <w:r w:rsidR="00DB692D">
        <w:rPr>
          <w:rFonts w:ascii="Arial" w:eastAsia="Arial" w:hAnsi="Arial" w:cs="Arial"/>
          <w:color w:val="000000"/>
          <w:sz w:val="22"/>
          <w:szCs w:val="22"/>
        </w:rPr>
        <w:t>.</w:t>
      </w:r>
    </w:p>
    <w:p w14:paraId="400E90D0" w14:textId="08FF7917" w:rsidR="005D0FF7" w:rsidRPr="0097182D" w:rsidRDefault="005D0FF7" w:rsidP="00DB692D">
      <w:pPr>
        <w:pStyle w:val="Heading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6"/>
        <w:gridCol w:w="1747"/>
        <w:gridCol w:w="1608"/>
        <w:gridCol w:w="1608"/>
        <w:gridCol w:w="1608"/>
        <w:gridCol w:w="1608"/>
      </w:tblGrid>
      <w:tr w:rsidR="005D0FF7" w:rsidRPr="002D0027" w14:paraId="3ECC6C86" w14:textId="77777777" w:rsidTr="00135BB1">
        <w:tc>
          <w:tcPr>
            <w:tcW w:w="1604"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5"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A9E418F" w14:textId="77777777" w:rsidTr="00135BB1">
        <w:tc>
          <w:tcPr>
            <w:tcW w:w="1604" w:type="dxa"/>
            <w:vAlign w:val="center"/>
          </w:tcPr>
          <w:p w14:paraId="182A2AF1"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Second cycle</w:t>
            </w:r>
          </w:p>
        </w:tc>
        <w:tc>
          <w:tcPr>
            <w:tcW w:w="1745"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73B1CFE7" w14:textId="1EE4C49A" w:rsidR="005D0FF7" w:rsidRPr="002D0027" w:rsidRDefault="00135BB1"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0781C9D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192990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06901AAE" w14:textId="77777777" w:rsidR="00D46004" w:rsidRDefault="00D46004" w:rsidP="00DB692D">
      <w:pPr>
        <w:widowControl w:val="0"/>
        <w:numPr>
          <w:ilvl w:val="3"/>
          <w:numId w:val="21"/>
        </w:numPr>
        <w:pBdr>
          <w:top w:val="nil"/>
          <w:left w:val="nil"/>
          <w:bottom w:val="nil"/>
          <w:right w:val="nil"/>
          <w:between w:val="nil"/>
        </w:pBdr>
        <w:tabs>
          <w:tab w:val="left" w:pos="860"/>
          <w:tab w:val="left" w:pos="862"/>
        </w:tabs>
        <w:spacing w:line="276" w:lineRule="auto"/>
        <w:ind w:right="19"/>
        <w:jc w:val="both"/>
        <w:rPr>
          <w:color w:val="000000"/>
        </w:rPr>
      </w:pPr>
      <w:r>
        <w:rPr>
          <w:rFonts w:ascii="Arial" w:eastAsia="Arial" w:hAnsi="Arial" w:cs="Arial"/>
          <w:color w:val="000000"/>
          <w:sz w:val="22"/>
          <w:szCs w:val="22"/>
        </w:rPr>
        <w:t>Despite limited physical space, the library collection is good; the volume of new acquisitions both in Lithuanian and English is impressive.</w:t>
      </w:r>
    </w:p>
    <w:p w14:paraId="7ED4B860" w14:textId="77777777" w:rsidR="005D0FF7" w:rsidRPr="002D0027" w:rsidRDefault="005D0FF7" w:rsidP="00DB692D">
      <w:pPr>
        <w:spacing w:line="276" w:lineRule="auto"/>
        <w:jc w:val="both"/>
        <w:rPr>
          <w:rFonts w:ascii="Arial" w:hAnsi="Arial" w:cs="Arial"/>
          <w:b/>
          <w:bCs/>
          <w:color w:val="136C73"/>
          <w:sz w:val="22"/>
          <w:szCs w:val="22"/>
          <w:lang w:val="en-GB" w:eastAsia="lt-LT"/>
        </w:rPr>
      </w:pPr>
    </w:p>
    <w:p w14:paraId="41B22A4B" w14:textId="77777777" w:rsidR="005D0FF7" w:rsidRPr="0097182D" w:rsidRDefault="005D0FF7" w:rsidP="00DB692D">
      <w:pPr>
        <w:spacing w:line="276" w:lineRule="auto"/>
        <w:jc w:val="both"/>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6B0D5CFB" w14:textId="77777777" w:rsidR="005D0FF7" w:rsidRPr="002D0027" w:rsidRDefault="005D0FF7" w:rsidP="00DB692D">
      <w:pPr>
        <w:tabs>
          <w:tab w:val="left" w:pos="1298"/>
          <w:tab w:val="left" w:pos="1985"/>
        </w:tabs>
        <w:spacing w:line="276" w:lineRule="auto"/>
        <w:jc w:val="both"/>
        <w:rPr>
          <w:rFonts w:ascii="Arial" w:eastAsia="Calibri" w:hAnsi="Arial" w:cs="Arial"/>
          <w:iCs/>
          <w:color w:val="136C73"/>
          <w:sz w:val="22"/>
          <w:szCs w:val="22"/>
          <w:lang w:val="en-GB" w:eastAsia="lt-LT"/>
        </w:rPr>
      </w:pPr>
    </w:p>
    <w:p w14:paraId="7AB4EBF0" w14:textId="77777777" w:rsidR="005D0FF7" w:rsidRPr="0097182D"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To address shortcomings</w:t>
      </w:r>
    </w:p>
    <w:p w14:paraId="09CC3F9E"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0207190F" w14:textId="77777777" w:rsidR="00441E10" w:rsidRDefault="00441E10" w:rsidP="00DB692D">
      <w:pPr>
        <w:widowControl w:val="0"/>
        <w:numPr>
          <w:ilvl w:val="0"/>
          <w:numId w:val="22"/>
        </w:numPr>
        <w:pBdr>
          <w:top w:val="nil"/>
          <w:left w:val="nil"/>
          <w:bottom w:val="nil"/>
          <w:right w:val="nil"/>
          <w:between w:val="nil"/>
        </w:pBdr>
        <w:tabs>
          <w:tab w:val="left" w:pos="860"/>
          <w:tab w:val="left" w:pos="862"/>
        </w:tabs>
        <w:spacing w:line="276" w:lineRule="auto"/>
        <w:ind w:right="22"/>
        <w:jc w:val="both"/>
        <w:rPr>
          <w:color w:val="000000"/>
        </w:rPr>
      </w:pPr>
      <w:r>
        <w:rPr>
          <w:rFonts w:ascii="Arial" w:eastAsia="Arial" w:hAnsi="Arial" w:cs="Arial"/>
          <w:color w:val="000000"/>
          <w:sz w:val="22"/>
          <w:szCs w:val="22"/>
        </w:rPr>
        <w:t>Plans for upgrading resources would benefit from a more systematic and holistic approach that integrates top-down strategies (currently lacking) with the existing bottom-up agility.</w:t>
      </w:r>
    </w:p>
    <w:p w14:paraId="6558FA83" w14:textId="77777777" w:rsidR="00441E10" w:rsidRDefault="00441E10" w:rsidP="00DB692D">
      <w:pPr>
        <w:widowControl w:val="0"/>
        <w:numPr>
          <w:ilvl w:val="0"/>
          <w:numId w:val="22"/>
        </w:numPr>
        <w:pBdr>
          <w:top w:val="nil"/>
          <w:left w:val="nil"/>
          <w:bottom w:val="nil"/>
          <w:right w:val="nil"/>
          <w:between w:val="nil"/>
        </w:pBdr>
        <w:tabs>
          <w:tab w:val="left" w:pos="860"/>
          <w:tab w:val="left" w:pos="862"/>
        </w:tabs>
        <w:spacing w:line="276" w:lineRule="auto"/>
        <w:ind w:right="16"/>
        <w:jc w:val="both"/>
        <w:rPr>
          <w:color w:val="000000"/>
        </w:rPr>
      </w:pPr>
      <w:r>
        <w:rPr>
          <w:rFonts w:ascii="Arial" w:eastAsia="Arial" w:hAnsi="Arial" w:cs="Arial"/>
          <w:color w:val="000000"/>
          <w:sz w:val="22"/>
          <w:szCs w:val="22"/>
        </w:rPr>
        <w:t>The strategy for expanding the Virtual Library includes increasing access to literature in English. To maximize the benefits of English-language e-databases and e-books, to ensure a modern, internationally competitive education, KU should place greater emphasis on language training for students and further strengthen the English proficiency of its staff.</w:t>
      </w:r>
    </w:p>
    <w:p w14:paraId="12BC37F5"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59BB621B" w14:textId="77777777" w:rsidR="005D0FF7" w:rsidRPr="0097182D" w:rsidRDefault="005D0FF7"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04AF972E" w14:textId="77777777" w:rsidR="005D0FF7" w:rsidRPr="002D0027" w:rsidRDefault="005D0FF7" w:rsidP="00DB692D">
      <w:pPr>
        <w:tabs>
          <w:tab w:val="left" w:pos="1298"/>
          <w:tab w:val="left" w:pos="1985"/>
        </w:tabs>
        <w:spacing w:line="276" w:lineRule="auto"/>
        <w:jc w:val="both"/>
        <w:rPr>
          <w:rFonts w:ascii="Arial" w:eastAsia="Calibri" w:hAnsi="Arial" w:cs="Arial"/>
          <w:iCs/>
          <w:sz w:val="22"/>
          <w:szCs w:val="22"/>
          <w:lang w:val="en-GB" w:eastAsia="lt-LT"/>
        </w:rPr>
      </w:pPr>
    </w:p>
    <w:p w14:paraId="7F99AC33" w14:textId="2DD03D2F" w:rsidR="0045111D" w:rsidRDefault="0045111D" w:rsidP="00DB692D">
      <w:pPr>
        <w:widowControl w:val="0"/>
        <w:numPr>
          <w:ilvl w:val="0"/>
          <w:numId w:val="23"/>
        </w:numPr>
        <w:pBdr>
          <w:top w:val="nil"/>
          <w:left w:val="nil"/>
          <w:bottom w:val="nil"/>
          <w:right w:val="nil"/>
          <w:between w:val="nil"/>
        </w:pBdr>
        <w:tabs>
          <w:tab w:val="left" w:pos="860"/>
          <w:tab w:val="left" w:pos="862"/>
        </w:tabs>
        <w:spacing w:line="276" w:lineRule="auto"/>
        <w:ind w:right="17"/>
        <w:jc w:val="both"/>
        <w:rPr>
          <w:color w:val="000000"/>
        </w:rPr>
        <w:sectPr w:rsidR="0045111D" w:rsidSect="0045111D">
          <w:pgSz w:w="11920" w:h="16840"/>
          <w:pgMar w:top="1560" w:right="566" w:bottom="760" w:left="1559" w:header="0" w:footer="563" w:gutter="0"/>
          <w:cols w:space="1296"/>
        </w:sectPr>
      </w:pPr>
      <w:r>
        <w:rPr>
          <w:rFonts w:ascii="Arial" w:eastAsia="Arial" w:hAnsi="Arial" w:cs="Arial"/>
          <w:color w:val="000000"/>
          <w:sz w:val="22"/>
          <w:szCs w:val="22"/>
        </w:rPr>
        <w:t>Increasing office space for academic staff and creating more social areas for students would foster stronger interactions, ultimately enhancing academic engagement and performance.</w:t>
      </w:r>
    </w:p>
    <w:p w14:paraId="3B094693" w14:textId="37E6DBA9" w:rsidR="00F66E6A" w:rsidRPr="00752780" w:rsidRDefault="00F66E6A" w:rsidP="00DB692D">
      <w:pPr>
        <w:pStyle w:val="Heading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606"/>
        <w:gridCol w:w="1747"/>
        <w:gridCol w:w="1608"/>
        <w:gridCol w:w="1608"/>
        <w:gridCol w:w="1608"/>
        <w:gridCol w:w="1608"/>
      </w:tblGrid>
      <w:tr w:rsidR="00F66E6A" w:rsidRPr="002D0027" w14:paraId="59A4F568" w14:textId="77777777" w:rsidTr="00981CE6">
        <w:tc>
          <w:tcPr>
            <w:tcW w:w="1604"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5"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5"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5"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5"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605"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6694E171" w14:textId="77777777" w:rsidTr="00981CE6">
        <w:tc>
          <w:tcPr>
            <w:tcW w:w="1604" w:type="dxa"/>
            <w:vAlign w:val="center"/>
          </w:tcPr>
          <w:p w14:paraId="21417106"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Second cycle</w:t>
            </w:r>
          </w:p>
        </w:tc>
        <w:tc>
          <w:tcPr>
            <w:tcW w:w="1745"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6220D8AB" w14:textId="63F6FF22" w:rsidR="00F66E6A" w:rsidRPr="002D0027" w:rsidRDefault="00981CE6"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605" w:type="dxa"/>
            <w:vAlign w:val="center"/>
          </w:tcPr>
          <w:p w14:paraId="21250D16"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5"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352F210E" w14:textId="7561D68D" w:rsidR="00F66E6A" w:rsidRPr="002D0027" w:rsidRDefault="008927AD" w:rsidP="00DB692D">
      <w:pPr>
        <w:pStyle w:val="ListParagraph"/>
        <w:numPr>
          <w:ilvl w:val="0"/>
          <w:numId w:val="2"/>
        </w:numPr>
        <w:spacing w:line="276" w:lineRule="auto"/>
        <w:rPr>
          <w:rFonts w:ascii="Arial" w:hAnsi="Arial" w:cs="Arial"/>
          <w:sz w:val="22"/>
          <w:szCs w:val="22"/>
          <w:lang w:eastAsia="lt-LT"/>
        </w:rPr>
      </w:pPr>
      <w:r>
        <w:rPr>
          <w:rFonts w:ascii="Arial" w:eastAsia="Arial" w:hAnsi="Arial" w:cs="Arial"/>
          <w:color w:val="000000"/>
          <w:sz w:val="22"/>
          <w:szCs w:val="22"/>
        </w:rPr>
        <w:t>The second cycle “National Security” prompts high satisfaction rates amongst students and graduates.</w:t>
      </w:r>
    </w:p>
    <w:p w14:paraId="519DC327" w14:textId="77777777" w:rsidR="00F66E6A" w:rsidRPr="002D0027" w:rsidRDefault="00F66E6A" w:rsidP="00DB692D">
      <w:pPr>
        <w:spacing w:line="276" w:lineRule="auto"/>
        <w:jc w:val="both"/>
        <w:rPr>
          <w:rFonts w:ascii="Arial" w:hAnsi="Arial" w:cs="Arial"/>
          <w:b/>
          <w:bCs/>
          <w:color w:val="136C73"/>
          <w:sz w:val="22"/>
          <w:szCs w:val="22"/>
          <w:lang w:val="en-GB" w:eastAsia="lt-LT"/>
        </w:rPr>
      </w:pPr>
    </w:p>
    <w:p w14:paraId="2C548569" w14:textId="77777777" w:rsidR="00F66E6A" w:rsidRPr="00752780" w:rsidRDefault="00F66E6A" w:rsidP="00DB692D">
      <w:pPr>
        <w:spacing w:line="276" w:lineRule="auto"/>
        <w:jc w:val="both"/>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418EE99B" w14:textId="77777777" w:rsidR="00F66E6A" w:rsidRPr="002D0027" w:rsidRDefault="00F66E6A" w:rsidP="00DB692D">
      <w:pPr>
        <w:tabs>
          <w:tab w:val="left" w:pos="1298"/>
          <w:tab w:val="left" w:pos="1985"/>
        </w:tabs>
        <w:spacing w:line="276" w:lineRule="auto"/>
        <w:jc w:val="both"/>
        <w:rPr>
          <w:rFonts w:ascii="Arial" w:eastAsia="Calibri" w:hAnsi="Arial" w:cs="Arial"/>
          <w:iCs/>
          <w:color w:val="136C73"/>
          <w:sz w:val="22"/>
          <w:szCs w:val="22"/>
          <w:lang w:val="en-GB" w:eastAsia="lt-LT"/>
        </w:rPr>
      </w:pPr>
    </w:p>
    <w:p w14:paraId="22A4BEB2" w14:textId="77777777" w:rsidR="00F66E6A" w:rsidRPr="00752780" w:rsidRDefault="00F66E6A"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To address shortcomings</w:t>
      </w:r>
    </w:p>
    <w:p w14:paraId="25346EE9" w14:textId="77777777" w:rsidR="00F66E6A" w:rsidRPr="002D0027" w:rsidRDefault="00F66E6A" w:rsidP="00DB692D">
      <w:pPr>
        <w:tabs>
          <w:tab w:val="left" w:pos="1298"/>
          <w:tab w:val="left" w:pos="1985"/>
        </w:tabs>
        <w:spacing w:line="276" w:lineRule="auto"/>
        <w:jc w:val="both"/>
        <w:rPr>
          <w:rFonts w:ascii="Arial" w:eastAsia="Calibri" w:hAnsi="Arial" w:cs="Arial"/>
          <w:iCs/>
          <w:sz w:val="22"/>
          <w:szCs w:val="22"/>
          <w:lang w:val="en-GB" w:eastAsia="lt-LT"/>
        </w:rPr>
      </w:pPr>
    </w:p>
    <w:p w14:paraId="618C0206" w14:textId="4E3727E2" w:rsidR="00F66E6A" w:rsidRPr="000147C4" w:rsidRDefault="000147C4" w:rsidP="00DB692D">
      <w:pPr>
        <w:pStyle w:val="ListParagraph"/>
        <w:numPr>
          <w:ilvl w:val="0"/>
          <w:numId w:val="3"/>
        </w:numPr>
        <w:spacing w:line="276" w:lineRule="auto"/>
        <w:rPr>
          <w:rFonts w:ascii="Arial" w:eastAsia="Calibri" w:hAnsi="Arial" w:cs="Arial"/>
          <w:iCs/>
          <w:sz w:val="22"/>
          <w:szCs w:val="22"/>
          <w:lang w:eastAsia="lt-LT"/>
        </w:rPr>
      </w:pPr>
      <w:r>
        <w:rPr>
          <w:rFonts w:ascii="Arial" w:eastAsia="Arial" w:hAnsi="Arial" w:cs="Arial"/>
          <w:color w:val="000000"/>
          <w:sz w:val="22"/>
          <w:szCs w:val="22"/>
        </w:rPr>
        <w:t>There is a need to effectively implement feedback received from different stakeholder groups.</w:t>
      </w:r>
    </w:p>
    <w:p w14:paraId="5B606C8A" w14:textId="77777777" w:rsidR="000147C4" w:rsidRPr="002D0027" w:rsidRDefault="000147C4" w:rsidP="00DB692D">
      <w:pPr>
        <w:pStyle w:val="ListParagraph"/>
        <w:spacing w:line="276" w:lineRule="auto"/>
        <w:rPr>
          <w:rFonts w:ascii="Arial" w:eastAsia="Calibri" w:hAnsi="Arial" w:cs="Arial"/>
          <w:iCs/>
          <w:sz w:val="22"/>
          <w:szCs w:val="22"/>
          <w:lang w:eastAsia="lt-LT"/>
        </w:rPr>
      </w:pPr>
    </w:p>
    <w:p w14:paraId="53369C43" w14:textId="77777777" w:rsidR="00F66E6A" w:rsidRPr="00752780" w:rsidRDefault="00F66E6A" w:rsidP="00DB692D">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DB692D">
      <w:pPr>
        <w:tabs>
          <w:tab w:val="left" w:pos="1298"/>
          <w:tab w:val="left" w:pos="1985"/>
        </w:tabs>
        <w:spacing w:line="276" w:lineRule="auto"/>
        <w:jc w:val="both"/>
        <w:rPr>
          <w:rFonts w:ascii="Arial" w:eastAsia="Calibri" w:hAnsi="Arial" w:cs="Arial"/>
          <w:iCs/>
          <w:sz w:val="22"/>
          <w:szCs w:val="22"/>
          <w:lang w:val="en-GB" w:eastAsia="lt-LT"/>
        </w:rPr>
      </w:pPr>
    </w:p>
    <w:p w14:paraId="2153DD2F" w14:textId="638326EF" w:rsidR="006501B9" w:rsidRPr="002D0027" w:rsidRDefault="00B6659F" w:rsidP="00DB692D">
      <w:pPr>
        <w:pStyle w:val="ListParagraph"/>
        <w:numPr>
          <w:ilvl w:val="0"/>
          <w:numId w:val="4"/>
        </w:numPr>
        <w:spacing w:line="276" w:lineRule="auto"/>
        <w:rPr>
          <w:rFonts w:ascii="Arial" w:eastAsia="Calibri" w:hAnsi="Arial" w:cs="Arial"/>
          <w:lang w:eastAsia="lt-LT"/>
        </w:rPr>
      </w:pPr>
      <w:r>
        <w:rPr>
          <w:rFonts w:ascii="Arial" w:eastAsia="Arial" w:hAnsi="Arial" w:cs="Arial"/>
          <w:color w:val="000000"/>
          <w:sz w:val="22"/>
          <w:szCs w:val="22"/>
        </w:rPr>
        <w:t>To develop a database on student feedback and satisfaction (e.g., by way of a Study Barometer).</w:t>
      </w:r>
      <w:r w:rsidR="00BB1255" w:rsidRPr="002D0027">
        <w:rPr>
          <w:rFonts w:ascii="Arial" w:eastAsia="Calibri" w:hAnsi="Arial" w:cs="Arial"/>
          <w:sz w:val="22"/>
          <w:szCs w:val="22"/>
          <w:lang w:eastAsia="lt-LT"/>
        </w:rPr>
        <w:br w:type="page"/>
      </w:r>
    </w:p>
    <w:p w14:paraId="14521D57" w14:textId="2ECBA1DA" w:rsidR="00F66E6A" w:rsidRPr="00752780" w:rsidRDefault="00F66E6A" w:rsidP="00F66E6A">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5F2E0E6D" w14:textId="77777777" w:rsidR="00A32D18" w:rsidRPr="002D0027" w:rsidRDefault="00A32D18" w:rsidP="00A32D18">
      <w:pPr>
        <w:spacing w:line="276" w:lineRule="auto"/>
        <w:jc w:val="both"/>
        <w:rPr>
          <w:rFonts w:ascii="Arial" w:hAnsi="Arial" w:cs="Arial"/>
          <w:sz w:val="22"/>
          <w:szCs w:val="22"/>
        </w:rPr>
      </w:pPr>
    </w:p>
    <w:p w14:paraId="048AE318" w14:textId="77777777" w:rsidR="007F0C45" w:rsidRDefault="007F0C45" w:rsidP="00DB692D">
      <w:pPr>
        <w:pBdr>
          <w:top w:val="nil"/>
          <w:left w:val="nil"/>
          <w:bottom w:val="nil"/>
          <w:right w:val="nil"/>
          <w:between w:val="nil"/>
        </w:pBdr>
        <w:spacing w:before="240" w:line="276" w:lineRule="auto"/>
        <w:ind w:left="142" w:right="14"/>
        <w:jc w:val="both"/>
        <w:rPr>
          <w:color w:val="000000"/>
        </w:rPr>
      </w:pPr>
      <w:r>
        <w:rPr>
          <w:rFonts w:ascii="Arial" w:eastAsia="Arial" w:hAnsi="Arial" w:cs="Arial"/>
          <w:color w:val="000000"/>
          <w:sz w:val="22"/>
          <w:szCs w:val="22"/>
        </w:rPr>
        <w:t>The second-cycle study programme National Security at Klaipėda University focuses on national security policy and its practical application, aligning with national strategies such as Lithuania 2050 and the National Security Strategy, as well as regional frameworks. However, it does not fully capitalise on Klaipeda University’s geographical advantage and expertise in maritime security, an area with significant development potential. While the programme integrates national and regional security strategies, a more balanced approach that places equal emphasis on theoretical and practical competencies is needed. Graduates find employment in various security sectors, with strong alumni connections, particularly in the Lithuanian navy. Although the programme meets legal requirements, there is room for improvement through more flexible learning options, expanded internship opportunities, and increased international experiences. The final theses are of high quality, and greater involvement from social partners could further enhance the programme.</w:t>
      </w:r>
    </w:p>
    <w:p w14:paraId="5F36B2A2" w14:textId="77777777" w:rsidR="007F0C45" w:rsidRDefault="007F0C45" w:rsidP="00DB692D">
      <w:pPr>
        <w:pBdr>
          <w:top w:val="nil"/>
          <w:left w:val="nil"/>
          <w:bottom w:val="nil"/>
          <w:right w:val="nil"/>
          <w:between w:val="nil"/>
        </w:pBdr>
        <w:spacing w:line="276" w:lineRule="auto"/>
        <w:rPr>
          <w:color w:val="000000"/>
        </w:rPr>
      </w:pPr>
    </w:p>
    <w:p w14:paraId="506FE36B" w14:textId="77777777" w:rsidR="007F0C45" w:rsidRDefault="007F0C45" w:rsidP="00DB692D">
      <w:pPr>
        <w:pBdr>
          <w:top w:val="nil"/>
          <w:left w:val="nil"/>
          <w:bottom w:val="nil"/>
          <w:right w:val="nil"/>
          <w:between w:val="nil"/>
        </w:pBdr>
        <w:spacing w:line="276" w:lineRule="auto"/>
        <w:ind w:left="142" w:right="13"/>
        <w:jc w:val="both"/>
        <w:rPr>
          <w:color w:val="000000"/>
        </w:rPr>
      </w:pPr>
      <w:r>
        <w:rPr>
          <w:rFonts w:ascii="Arial" w:eastAsia="Arial" w:hAnsi="Arial" w:cs="Arial"/>
          <w:color w:val="000000"/>
          <w:sz w:val="22"/>
          <w:szCs w:val="22"/>
        </w:rPr>
        <w:t>Klaipėda University’s research in Political Science focuses on national security, internal security, and socio-economic welfare in the Baltic Sea region. Faculty research covers political sociology and governance. However, only one lecturer specialises in international relations and national security, with limited publications in this area. While the number of faculty publications has increased, most are in Lithuanian, and international peer-reviewed articles remain scarce. Research activities are not well integrated into teaching, and the overall research scope appears fragmented. Students engage in research through assignments and theses, with some continuing to Ph.D. studies. However, the programme would benefit from more ambitious, globally focused research projects.</w:t>
      </w:r>
    </w:p>
    <w:p w14:paraId="6F744F4B" w14:textId="77777777" w:rsidR="007F0C45" w:rsidRDefault="007F0C45" w:rsidP="00DB692D">
      <w:pPr>
        <w:pBdr>
          <w:top w:val="nil"/>
          <w:left w:val="nil"/>
          <w:bottom w:val="nil"/>
          <w:right w:val="nil"/>
          <w:between w:val="nil"/>
        </w:pBdr>
        <w:spacing w:line="276" w:lineRule="auto"/>
        <w:rPr>
          <w:color w:val="000000"/>
        </w:rPr>
      </w:pPr>
    </w:p>
    <w:p w14:paraId="5C12DEC4" w14:textId="77777777" w:rsidR="007F0C45" w:rsidRDefault="007F0C45" w:rsidP="00DB692D">
      <w:pPr>
        <w:pBdr>
          <w:top w:val="nil"/>
          <w:left w:val="nil"/>
          <w:bottom w:val="nil"/>
          <w:right w:val="nil"/>
          <w:between w:val="nil"/>
        </w:pBdr>
        <w:spacing w:line="276" w:lineRule="auto"/>
        <w:ind w:left="142" w:right="15"/>
        <w:jc w:val="both"/>
        <w:rPr>
          <w:color w:val="000000"/>
        </w:rPr>
      </w:pPr>
      <w:r>
        <w:rPr>
          <w:rFonts w:ascii="Arial" w:eastAsia="Arial" w:hAnsi="Arial" w:cs="Arial"/>
          <w:color w:val="000000"/>
          <w:sz w:val="22"/>
          <w:szCs w:val="22"/>
        </w:rPr>
        <w:t>Student support services are well-developed, with high levels of satisfaction. The university provides comprehensive financial, academic, and psychological support. However, participation in Erasmus+ mobility is extremely limited, largely due to students’ employment commitments. The programme would benefit from alternative internationalisation opportunities that accommodate working students. Additionally, despite strong applicant interest, low student enrolment remains a challenge. More targeted marketing efforts and increased collaboration with alumni and social partners could enhance programme visibility and recruitment.</w:t>
      </w:r>
    </w:p>
    <w:p w14:paraId="5AF8DC0B" w14:textId="77777777" w:rsidR="007F0C45" w:rsidRDefault="007F0C45" w:rsidP="00DB692D">
      <w:pPr>
        <w:pBdr>
          <w:top w:val="nil"/>
          <w:left w:val="nil"/>
          <w:bottom w:val="nil"/>
          <w:right w:val="nil"/>
          <w:between w:val="nil"/>
        </w:pBdr>
        <w:spacing w:line="276" w:lineRule="auto"/>
        <w:rPr>
          <w:color w:val="000000"/>
        </w:rPr>
      </w:pPr>
    </w:p>
    <w:p w14:paraId="181E7FD8" w14:textId="77777777" w:rsidR="007F0C45" w:rsidRDefault="007F0C45" w:rsidP="00DB692D">
      <w:pPr>
        <w:pBdr>
          <w:top w:val="nil"/>
          <w:left w:val="nil"/>
          <w:bottom w:val="nil"/>
          <w:right w:val="nil"/>
          <w:between w:val="nil"/>
        </w:pBdr>
        <w:spacing w:line="276" w:lineRule="auto"/>
        <w:ind w:left="142" w:right="16"/>
        <w:jc w:val="both"/>
        <w:rPr>
          <w:color w:val="000000"/>
        </w:rPr>
      </w:pPr>
      <w:r>
        <w:rPr>
          <w:rFonts w:ascii="Arial" w:eastAsia="Arial" w:hAnsi="Arial" w:cs="Arial"/>
          <w:color w:val="000000"/>
          <w:sz w:val="22"/>
          <w:szCs w:val="22"/>
        </w:rPr>
        <w:t>The study programme employs diverse teaching methods, though innovative approaches remain limited. Students appreciate the applied knowledge in areas such as political media analysis and cybersecurity. However, the low number of enrolled students affects programme sustainability and limits opportunities for growth. Despite this, the programme offers flexible study options, allowing students to continue to Ph.D. studies. The university ensures accessibility for socially vulnerable and special-needs students and offers tailored learning experiences. While the teaching meets tudent needs, additional efforts are required to attract non-state funded students. Student prrogress is monitored systematically, and feedback mechanisms are in place. However, graduate employability and career support remain limited. Employer and alumni engagement in, for example, shaping the curriculum, could be improved. Academic integrity and non-discrimination policies are in place, with no reported violations . However, the effectiveness of the appeals and complaints processes is difficult to assess, as no appeals or complaints have been submitted.</w:t>
      </w:r>
    </w:p>
    <w:p w14:paraId="651B3FE2" w14:textId="77777777" w:rsidR="007F0C45" w:rsidRDefault="007F0C45" w:rsidP="00DB692D">
      <w:pPr>
        <w:pBdr>
          <w:top w:val="nil"/>
          <w:left w:val="nil"/>
          <w:bottom w:val="nil"/>
          <w:right w:val="nil"/>
          <w:between w:val="nil"/>
        </w:pBdr>
        <w:spacing w:before="253" w:line="276" w:lineRule="auto"/>
        <w:ind w:left="142" w:right="14"/>
        <w:jc w:val="both"/>
        <w:rPr>
          <w:color w:val="000000"/>
        </w:rPr>
      </w:pPr>
      <w:r>
        <w:rPr>
          <w:rFonts w:ascii="Arial" w:eastAsia="Arial" w:hAnsi="Arial" w:cs="Arial"/>
          <w:color w:val="000000"/>
          <w:sz w:val="22"/>
          <w:szCs w:val="22"/>
        </w:rPr>
        <w:t>The teaching staff is well-qualified, but the small number of core faculty members poses a risk to programme sustainability. The lack of faculty specialisation in security studies limits academic depth, and research output remains insufficient at the international level. Although professional development and academic mobility opportunities are available, inbound faculty mobility remains low. The EU-CONEXUS initiative presents potential for enhancing both inbound and outbound mobility.</w:t>
      </w:r>
    </w:p>
    <w:p w14:paraId="616EA6B4" w14:textId="77777777" w:rsidR="007F0C45" w:rsidRDefault="007F0C45" w:rsidP="00DB692D">
      <w:pPr>
        <w:pBdr>
          <w:top w:val="nil"/>
          <w:left w:val="nil"/>
          <w:bottom w:val="nil"/>
          <w:right w:val="nil"/>
          <w:between w:val="nil"/>
        </w:pBdr>
        <w:spacing w:line="276" w:lineRule="auto"/>
        <w:rPr>
          <w:color w:val="000000"/>
        </w:rPr>
      </w:pPr>
    </w:p>
    <w:p w14:paraId="2FDD6828" w14:textId="56897670" w:rsidR="00DB692D" w:rsidRDefault="007F0C45" w:rsidP="00DB692D">
      <w:pPr>
        <w:pBdr>
          <w:top w:val="nil"/>
          <w:left w:val="nil"/>
          <w:bottom w:val="nil"/>
          <w:right w:val="nil"/>
          <w:between w:val="nil"/>
        </w:pBdr>
        <w:spacing w:line="276" w:lineRule="auto"/>
        <w:ind w:left="142" w:right="14"/>
        <w:jc w:val="both"/>
        <w:rPr>
          <w:rFonts w:ascii="Arial" w:eastAsia="Arial" w:hAnsi="Arial" w:cs="Arial"/>
          <w:color w:val="000000"/>
          <w:sz w:val="22"/>
          <w:szCs w:val="22"/>
        </w:rPr>
      </w:pPr>
      <w:r>
        <w:rPr>
          <w:rFonts w:ascii="Arial" w:eastAsia="Arial" w:hAnsi="Arial" w:cs="Arial"/>
          <w:color w:val="000000"/>
          <w:sz w:val="22"/>
          <w:szCs w:val="22"/>
        </w:rPr>
        <w:t>Klaipėda University provides adequate facilities, informational resources, and financial support for the National Security programme. The faculty has well-equipped classrooms featuring advanced technology, including interactive boards and SMART tables. A Moodle-based Virtual Learning Environment supports course materials and online consultations. The library maintains a sufficient collection of political science literature, with regular updates and access to academic database</w:t>
      </w:r>
      <w:r w:rsidR="00DB692D">
        <w:rPr>
          <w:rFonts w:ascii="Arial" w:eastAsia="Arial" w:hAnsi="Arial" w:cs="Arial"/>
          <w:color w:val="000000"/>
          <w:sz w:val="22"/>
          <w:szCs w:val="22"/>
        </w:rPr>
        <w:t>.</w:t>
      </w:r>
    </w:p>
    <w:p w14:paraId="351AA8E9" w14:textId="77777777" w:rsidR="00DB692D" w:rsidRDefault="00DB692D" w:rsidP="00DB692D">
      <w:pPr>
        <w:pBdr>
          <w:top w:val="nil"/>
          <w:left w:val="nil"/>
          <w:bottom w:val="nil"/>
          <w:right w:val="nil"/>
          <w:between w:val="nil"/>
        </w:pBdr>
        <w:spacing w:before="74" w:line="276" w:lineRule="auto"/>
        <w:ind w:left="142" w:right="24"/>
        <w:jc w:val="both"/>
        <w:rPr>
          <w:color w:val="000000"/>
        </w:rPr>
      </w:pPr>
      <w:r>
        <w:rPr>
          <w:rFonts w:ascii="Arial" w:eastAsia="Arial" w:hAnsi="Arial" w:cs="Arial"/>
          <w:color w:val="000000"/>
          <w:sz w:val="22"/>
          <w:szCs w:val="22"/>
        </w:rPr>
        <w:t>Although the library space is limited, ongoing resource planning and ongoing upgrades ensure that the programme's needs are met.</w:t>
      </w:r>
    </w:p>
    <w:p w14:paraId="5ACEC238" w14:textId="77777777" w:rsidR="00DB692D" w:rsidRDefault="00DB692D" w:rsidP="00DB692D">
      <w:pPr>
        <w:pBdr>
          <w:top w:val="nil"/>
          <w:left w:val="nil"/>
          <w:bottom w:val="nil"/>
          <w:right w:val="nil"/>
          <w:between w:val="nil"/>
        </w:pBdr>
        <w:spacing w:before="253" w:line="276" w:lineRule="auto"/>
        <w:ind w:left="142" w:right="16"/>
        <w:jc w:val="both"/>
        <w:rPr>
          <w:color w:val="000000"/>
        </w:rPr>
      </w:pPr>
      <w:r>
        <w:rPr>
          <w:rFonts w:ascii="Arial" w:eastAsia="Arial" w:hAnsi="Arial" w:cs="Arial"/>
          <w:color w:val="000000"/>
          <w:sz w:val="22"/>
          <w:szCs w:val="22"/>
        </w:rPr>
        <w:t>Quality assurance processes are well-structured, involving various stakeholders, and student satisfaction with programme monitoring is high. The programme’s quality is overseen by multiple committees and continuously improved through staff evaluations, student surveys, and feedback management. However, there is room for improvement in the systematic implementation of feedback from students, alumni, and social partners.</w:t>
      </w:r>
    </w:p>
    <w:p w14:paraId="48FDB470" w14:textId="77777777" w:rsidR="00DB692D" w:rsidRDefault="00DB692D" w:rsidP="00DB692D">
      <w:pPr>
        <w:pBdr>
          <w:top w:val="nil"/>
          <w:left w:val="nil"/>
          <w:bottom w:val="nil"/>
          <w:right w:val="nil"/>
          <w:between w:val="nil"/>
        </w:pBdr>
        <w:spacing w:before="253" w:line="276" w:lineRule="auto"/>
        <w:ind w:left="142" w:right="13"/>
        <w:jc w:val="both"/>
        <w:rPr>
          <w:color w:val="000000"/>
        </w:rPr>
        <w:sectPr w:rsidR="00DB692D" w:rsidSect="00DB692D">
          <w:pgSz w:w="11920" w:h="16840"/>
          <w:pgMar w:top="1060" w:right="566" w:bottom="760" w:left="1559" w:header="0" w:footer="563" w:gutter="0"/>
          <w:cols w:space="1296"/>
        </w:sectPr>
      </w:pPr>
      <w:r>
        <w:rPr>
          <w:rFonts w:ascii="Arial" w:eastAsia="Arial" w:hAnsi="Arial" w:cs="Arial"/>
          <w:color w:val="000000"/>
          <w:sz w:val="22"/>
          <w:szCs w:val="22"/>
        </w:rPr>
        <w:t>In conclusion, the National Security programme at Klaipėda University has notable strengths, such as its alignment with national security priorities and the positive feedback from students and alumni. However, it does not fully capitalise on its strategic coastal location to develop expertise in maritime security and international cooperation, which remains an underutilised opportunity. Additionally, it faces key challenges that must be addressed to ensure long-term success. The curriculum should be updated to reflect evolving security demands, faculty expertise must be strengthened, and student engagement in international opportunities should be expanded. Addressing these issues through strategic planning and targeted improvements will be crucial for maintaining the programme’s competitiveness and sustainability.</w:t>
      </w:r>
    </w:p>
    <w:p w14:paraId="24F0DF12" w14:textId="21CA9335" w:rsidR="0042467A" w:rsidRPr="002D0027" w:rsidRDefault="00535C59" w:rsidP="00BE720C">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40B175FE" w:rsidR="0042467A" w:rsidRPr="002D0027" w:rsidRDefault="007F0C45" w:rsidP="008F64DA">
      <w:pPr>
        <w:spacing w:line="276" w:lineRule="auto"/>
        <w:jc w:val="center"/>
        <w:rPr>
          <w:rFonts w:ascii="Arial" w:hAnsi="Arial" w:cs="Arial"/>
          <w:b/>
          <w:caps/>
        </w:rPr>
      </w:pPr>
      <w:r>
        <w:rPr>
          <w:rFonts w:ascii="Arial" w:hAnsi="Arial" w:cs="Arial"/>
          <w:b/>
          <w:caps/>
        </w:rPr>
        <w:t>KLAIPĖDOS UNIVERSIT</w:t>
      </w:r>
      <w:r w:rsidR="00862DC2">
        <w:rPr>
          <w:rFonts w:ascii="Arial" w:hAnsi="Arial" w:cs="Arial"/>
          <w:b/>
          <w:caps/>
        </w:rPr>
        <w:t xml:space="preserve">ETO POLITIKOS MOKSLŲ </w:t>
      </w:r>
      <w:r w:rsidR="00677F9A" w:rsidRPr="002D0027">
        <w:rPr>
          <w:rFonts w:ascii="Arial" w:hAnsi="Arial" w:cs="Arial"/>
          <w:b/>
          <w:caps/>
        </w:rPr>
        <w:t>krypties</w:t>
      </w:r>
      <w:r w:rsidR="0042467A" w:rsidRPr="002D0027">
        <w:rPr>
          <w:rFonts w:ascii="Arial" w:hAnsi="Arial" w:cs="Arial"/>
          <w:b/>
          <w:caps/>
        </w:rPr>
        <w:t xml:space="preserve"> studijų </w:t>
      </w:r>
      <w:r w:rsidR="00FD467B" w:rsidRPr="002D0027">
        <w:rPr>
          <w:rFonts w:ascii="Arial" w:hAnsi="Arial" w:cs="Arial"/>
          <w:b/>
          <w:caps/>
        </w:rPr>
        <w:t>202</w:t>
      </w:r>
      <w:r w:rsidR="00862DC2">
        <w:rPr>
          <w:rFonts w:ascii="Arial" w:hAnsi="Arial" w:cs="Arial"/>
          <w:b/>
          <w:caps/>
        </w:rPr>
        <w:t>5</w:t>
      </w:r>
      <w:r w:rsidR="00FD467B" w:rsidRPr="002D0027">
        <w:rPr>
          <w:rFonts w:ascii="Arial" w:hAnsi="Arial" w:cs="Arial"/>
          <w:b/>
          <w:caps/>
        </w:rPr>
        <w:t xml:space="preserve"> m. </w:t>
      </w:r>
      <w:r w:rsidR="00442635">
        <w:rPr>
          <w:rFonts w:ascii="Arial" w:hAnsi="Arial" w:cs="Arial"/>
          <w:b/>
          <w:caps/>
        </w:rPr>
        <w:t>KOVO 25</w:t>
      </w:r>
      <w:r w:rsidR="00FD467B" w:rsidRPr="002D0027">
        <w:rPr>
          <w:rFonts w:ascii="Arial" w:hAnsi="Arial" w:cs="Arial"/>
          <w:b/>
          <w:caps/>
        </w:rPr>
        <w:t xml:space="preserve"> 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sidR="00442635">
        <w:rPr>
          <w:rFonts w:ascii="Arial" w:hAnsi="Arial" w:cs="Arial"/>
          <w:b/>
        </w:rPr>
        <w:t>26</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681742BF" w:rsidR="00291AB7" w:rsidRPr="00752780" w:rsidRDefault="00F521F5"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POLITIKOS MOKSLŲ</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44B2753B" w:rsidR="00291AB7" w:rsidRPr="00752780" w:rsidRDefault="00F521F5"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Klaipėdos</w:t>
      </w:r>
      <w:r w:rsidR="00291AB7" w:rsidRPr="00752780">
        <w:rPr>
          <w:rFonts w:ascii="Arial" w:eastAsia="Calibri" w:hAnsi="Arial" w:cs="Arial"/>
          <w:b/>
          <w:iCs/>
          <w:color w:val="5B0009"/>
          <w:sz w:val="40"/>
          <w:szCs w:val="40"/>
          <w:lang w:eastAsia="lt-LT"/>
        </w:rPr>
        <w:t xml:space="preserve"> universitetas</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NoSpacing"/>
        <w:rPr>
          <w:rFonts w:ascii="Arial" w:hAnsi="Arial" w:cs="Arial"/>
          <w:iCs/>
          <w:color w:val="5B0009"/>
          <w:lang w:eastAsia="lt-LT"/>
        </w:rPr>
      </w:pPr>
    </w:p>
    <w:p w14:paraId="2BF014AD" w14:textId="77777777" w:rsidR="00291AB7" w:rsidRPr="00752780" w:rsidRDefault="00291AB7" w:rsidP="00291AB7">
      <w:pPr>
        <w:pStyle w:val="NoSpacing"/>
        <w:rPr>
          <w:rFonts w:ascii="Arial" w:hAnsi="Arial" w:cs="Arial"/>
          <w:iCs/>
          <w:color w:val="5B0009"/>
          <w:lang w:eastAsia="lt-LT"/>
        </w:rPr>
      </w:pPr>
    </w:p>
    <w:p w14:paraId="3455F329" w14:textId="77777777" w:rsidR="00291AB7" w:rsidRPr="00752780" w:rsidRDefault="00291AB7" w:rsidP="00291AB7">
      <w:pPr>
        <w:pStyle w:val="NoSpacing"/>
        <w:rPr>
          <w:rFonts w:ascii="Arial" w:hAnsi="Arial" w:cs="Arial"/>
          <w:iCs/>
          <w:color w:val="5B0009"/>
          <w:lang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F50679">
            <w:pPr>
              <w:tabs>
                <w:tab w:val="left" w:pos="0"/>
              </w:tabs>
              <w:spacing w:line="276" w:lineRule="auto"/>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1636ABFF" w:rsidR="00291AB7" w:rsidRPr="00752780" w:rsidRDefault="00291AB7" w:rsidP="00333940">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EC031C">
              <w:rPr>
                <w:rFonts w:ascii="Arial" w:eastAsia="Arial" w:hAnsi="Arial" w:cs="Arial"/>
              </w:rPr>
              <w:t xml:space="preserve">Stefan Gänzle </w:t>
            </w:r>
            <w:r w:rsidRPr="00752780">
              <w:rPr>
                <w:rFonts w:ascii="Arial" w:eastAsia="Calibri" w:hAnsi="Arial" w:cs="Arial"/>
                <w:iCs/>
                <w:lang w:val="lt-LT" w:eastAsia="lt-LT"/>
              </w:rPr>
              <w:t>………………………... (parašas)</w:t>
            </w:r>
          </w:p>
          <w:p w14:paraId="17AA915F" w14:textId="21D7F8EB" w:rsidR="00291AB7" w:rsidRPr="00752780" w:rsidRDefault="00291AB7" w:rsidP="00333940">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132064">
              <w:rPr>
                <w:rFonts w:ascii="Arial" w:eastAsia="Arial" w:hAnsi="Arial" w:cs="Arial"/>
              </w:rPr>
              <w:t>Anu Toots</w:t>
            </w:r>
          </w:p>
          <w:p w14:paraId="0597AE86" w14:textId="7B311FA8" w:rsidR="00291AB7" w:rsidRPr="00752780" w:rsidRDefault="00291AB7" w:rsidP="00333940">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FD4CA6">
              <w:rPr>
                <w:rFonts w:ascii="Arial" w:eastAsia="Arial" w:hAnsi="Arial" w:cs="Arial"/>
              </w:rPr>
              <w:t>Simon Lightfoot</w:t>
            </w:r>
          </w:p>
          <w:p w14:paraId="270F0952" w14:textId="03BF78D5" w:rsidR="00291AB7" w:rsidRPr="00752780" w:rsidRDefault="00291AB7" w:rsidP="00333940">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257747">
              <w:rPr>
                <w:rFonts w:ascii="Arial" w:eastAsia="Arial" w:hAnsi="Arial" w:cs="Arial"/>
              </w:rPr>
              <w:t xml:space="preserve">Simonas </w:t>
            </w:r>
            <w:proofErr w:type="spellStart"/>
            <w:r w:rsidR="00257747">
              <w:rPr>
                <w:rFonts w:ascii="Arial" w:eastAsia="Arial" w:hAnsi="Arial" w:cs="Arial"/>
              </w:rPr>
              <w:t>Gaušas</w:t>
            </w:r>
            <w:proofErr w:type="spellEnd"/>
          </w:p>
          <w:p w14:paraId="06E562F0" w14:textId="7232B065" w:rsidR="00291AB7" w:rsidRPr="00752780" w:rsidRDefault="00291AB7" w:rsidP="00333940">
            <w:pPr>
              <w:pStyle w:val="ListParagraph"/>
              <w:numPr>
                <w:ilvl w:val="0"/>
                <w:numId w:val="5"/>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443E85">
              <w:rPr>
                <w:rFonts w:ascii="Arial" w:eastAsia="Arial" w:hAnsi="Arial" w:cs="Arial"/>
              </w:rPr>
              <w:t xml:space="preserve">Karolina </w:t>
            </w:r>
            <w:proofErr w:type="spellStart"/>
            <w:r w:rsidR="00443E85">
              <w:rPr>
                <w:rFonts w:ascii="Arial" w:eastAsia="Arial" w:hAnsi="Arial" w:cs="Arial"/>
              </w:rPr>
              <w:t>Markauskaitė</w:t>
            </w:r>
            <w:proofErr w:type="spellEnd"/>
          </w:p>
          <w:p w14:paraId="291143FE" w14:textId="77777777" w:rsidR="00291AB7" w:rsidRPr="00752780" w:rsidRDefault="00291AB7" w:rsidP="00F50679">
            <w:pPr>
              <w:pStyle w:val="NoSpacing"/>
              <w:spacing w:line="276" w:lineRule="auto"/>
              <w:rPr>
                <w:rFonts w:ascii="Arial" w:hAnsi="Arial" w:cs="Arial"/>
                <w:iCs/>
                <w:color w:val="5B0009"/>
                <w:szCs w:val="24"/>
                <w:lang w:eastAsia="lt-LT"/>
              </w:rPr>
            </w:pPr>
          </w:p>
          <w:p w14:paraId="166A2099" w14:textId="6D9CC8BD"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3B187D">
              <w:rPr>
                <w:rFonts w:ascii="Arial" w:eastAsia="Arial" w:hAnsi="Arial" w:cs="Arial"/>
              </w:rPr>
              <w:t>Greta Misevičiūtė</w:t>
            </w:r>
          </w:p>
        </w:tc>
      </w:tr>
    </w:tbl>
    <w:p w14:paraId="089D57A6" w14:textId="77777777" w:rsidR="00291AB7" w:rsidRPr="002D0027" w:rsidRDefault="00291AB7" w:rsidP="00291AB7">
      <w:pPr>
        <w:pStyle w:val="NoSpacing"/>
        <w:rPr>
          <w:rFonts w:ascii="Arial" w:hAnsi="Arial" w:cs="Arial"/>
          <w:iCs/>
          <w:color w:val="136C73"/>
          <w:szCs w:val="24"/>
          <w:lang w:eastAsia="lt-LT"/>
        </w:rPr>
      </w:pPr>
    </w:p>
    <w:p w14:paraId="17381F33" w14:textId="77777777" w:rsidR="00291AB7" w:rsidRPr="002D0027" w:rsidRDefault="00291AB7" w:rsidP="00291AB7">
      <w:pPr>
        <w:pStyle w:val="NoSpacing"/>
        <w:rPr>
          <w:rFonts w:ascii="Arial" w:hAnsi="Arial" w:cs="Arial"/>
          <w:iCs/>
          <w:color w:val="136C73"/>
          <w:szCs w:val="24"/>
          <w:lang w:eastAsia="lt-LT"/>
        </w:rPr>
      </w:pPr>
    </w:p>
    <w:p w14:paraId="5F119B3A" w14:textId="77777777" w:rsidR="00291AB7" w:rsidRPr="002D0027" w:rsidRDefault="00291AB7" w:rsidP="00291AB7">
      <w:pPr>
        <w:pStyle w:val="NoSpacing"/>
        <w:rPr>
          <w:rFonts w:ascii="Arial" w:hAnsi="Arial" w:cs="Arial"/>
          <w:iCs/>
          <w:color w:val="136C73"/>
          <w:szCs w:val="24"/>
          <w:lang w:eastAsia="lt-LT"/>
        </w:rPr>
      </w:pPr>
    </w:p>
    <w:p w14:paraId="417CE6A6" w14:textId="77777777" w:rsidR="00291AB7" w:rsidRPr="002D0027" w:rsidRDefault="00291AB7" w:rsidP="00291AB7">
      <w:pPr>
        <w:pStyle w:val="NoSpacing"/>
        <w:rPr>
          <w:rFonts w:ascii="Arial" w:hAnsi="Arial" w:cs="Arial"/>
          <w:iCs/>
          <w:color w:val="136C73"/>
          <w:szCs w:val="24"/>
          <w:lang w:eastAsia="lt-LT"/>
        </w:rPr>
      </w:pPr>
    </w:p>
    <w:p w14:paraId="6FA93B54" w14:textId="77777777" w:rsidR="00291AB7" w:rsidRPr="002D0027" w:rsidRDefault="00291AB7" w:rsidP="00291AB7">
      <w:pPr>
        <w:pStyle w:val="NoSpacing"/>
        <w:rPr>
          <w:rFonts w:ascii="Arial" w:hAnsi="Arial" w:cs="Arial"/>
          <w:iCs/>
          <w:color w:val="136C73"/>
          <w:szCs w:val="24"/>
          <w:lang w:eastAsia="lt-LT"/>
        </w:rPr>
      </w:pPr>
    </w:p>
    <w:p w14:paraId="4A55FB3A" w14:textId="3F0AE432"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3B187D">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NoSpacing"/>
        <w:jc w:val="center"/>
        <w:rPr>
          <w:rFonts w:ascii="Arial" w:hAnsi="Arial" w:cs="Arial"/>
          <w:iCs/>
          <w:color w:val="136C73"/>
          <w:szCs w:val="24"/>
          <w:lang w:eastAsia="lt-LT"/>
        </w:rPr>
      </w:pPr>
    </w:p>
    <w:p w14:paraId="7585A5B2" w14:textId="77777777" w:rsidR="00291AB7" w:rsidRPr="002D0027" w:rsidRDefault="00291AB7" w:rsidP="00291AB7">
      <w:pPr>
        <w:pStyle w:val="NoSpacing"/>
        <w:jc w:val="center"/>
        <w:rPr>
          <w:rFonts w:ascii="Arial" w:hAnsi="Arial" w:cs="Arial"/>
          <w:iCs/>
          <w:color w:val="136C73"/>
          <w:szCs w:val="24"/>
          <w:lang w:eastAsia="lt-LT"/>
        </w:rPr>
      </w:pPr>
    </w:p>
    <w:p w14:paraId="23328A76" w14:textId="77777777" w:rsidR="00291AB7" w:rsidRPr="002D0027" w:rsidRDefault="00291AB7" w:rsidP="00291AB7">
      <w:pPr>
        <w:pStyle w:val="NoSpacing"/>
        <w:jc w:val="center"/>
        <w:rPr>
          <w:rFonts w:ascii="Arial" w:hAnsi="Arial" w:cs="Arial"/>
          <w:iCs/>
          <w:color w:val="136C73"/>
          <w:szCs w:val="24"/>
          <w:lang w:eastAsia="lt-LT"/>
        </w:rPr>
      </w:pPr>
    </w:p>
    <w:p w14:paraId="64F6A0D0" w14:textId="77777777" w:rsidR="00291AB7" w:rsidRPr="002D0027" w:rsidRDefault="00291AB7" w:rsidP="00291AB7">
      <w:pPr>
        <w:pStyle w:val="NoSpacing"/>
        <w:jc w:val="center"/>
        <w:rPr>
          <w:rFonts w:ascii="Arial" w:hAnsi="Arial" w:cs="Arial"/>
          <w:iCs/>
          <w:color w:val="136C73"/>
          <w:szCs w:val="24"/>
          <w:lang w:eastAsia="lt-LT"/>
        </w:rPr>
      </w:pPr>
    </w:p>
    <w:p w14:paraId="6484447F" w14:textId="77777777" w:rsidR="00291AB7" w:rsidRDefault="00291AB7" w:rsidP="00291AB7">
      <w:pPr>
        <w:pStyle w:val="NoSpacing"/>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NoSpacing"/>
        <w:jc w:val="center"/>
        <w:rPr>
          <w:rFonts w:ascii="Arial" w:hAnsi="Arial" w:cs="Arial"/>
          <w:iCs/>
          <w:color w:val="5B0009"/>
          <w:szCs w:val="24"/>
          <w:lang w:eastAsia="lt-LT"/>
        </w:rPr>
      </w:pPr>
    </w:p>
    <w:p w14:paraId="43B9BC14" w14:textId="77777777" w:rsidR="00535C59" w:rsidRPr="00752780" w:rsidRDefault="00535C59" w:rsidP="00291AB7">
      <w:pPr>
        <w:pStyle w:val="NoSpacing"/>
        <w:jc w:val="center"/>
        <w:rPr>
          <w:rFonts w:ascii="Arial" w:hAnsi="Arial" w:cs="Arial"/>
          <w:iCs/>
          <w:color w:val="5B0009"/>
          <w:szCs w:val="24"/>
          <w:lang w:eastAsia="lt-LT"/>
        </w:rPr>
      </w:pPr>
    </w:p>
    <w:p w14:paraId="63FC30B4" w14:textId="12BE365E" w:rsidR="00291AB7" w:rsidRPr="00752780" w:rsidRDefault="00291AB7" w:rsidP="00291AB7">
      <w:pPr>
        <w:pStyle w:val="Heading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w:t>
      </w:r>
      <w:r w:rsidR="00BE720C">
        <w:rPr>
          <w:rFonts w:ascii="Arial" w:hAnsi="Arial" w:cs="Arial"/>
          <w:color w:val="5B0009"/>
          <w:sz w:val="36"/>
          <w:szCs w:val="36"/>
          <w:lang w:val="lt-LT"/>
        </w:rPr>
        <w:t>OS</w:t>
      </w:r>
      <w:r w:rsidRPr="00752780">
        <w:rPr>
          <w:rFonts w:ascii="Arial" w:hAnsi="Arial" w:cs="Arial"/>
          <w:color w:val="5B0009"/>
          <w:sz w:val="36"/>
          <w:szCs w:val="36"/>
          <w:lang w:val="lt-LT"/>
        </w:rPr>
        <w:t xml:space="preserve"> DUOMENYS</w:t>
      </w:r>
    </w:p>
    <w:p w14:paraId="5CE5428E" w14:textId="77777777" w:rsidR="00291AB7" w:rsidRPr="002D0027" w:rsidRDefault="00291AB7" w:rsidP="00291AB7">
      <w:pPr>
        <w:rPr>
          <w:rFonts w:ascii="Arial" w:hAnsi="Arial" w:cs="Arial"/>
          <w:b/>
          <w:bCs/>
          <w:iCs/>
          <w:color w:val="136C73"/>
          <w:lang w:eastAsia="lt-LT"/>
        </w:rPr>
      </w:pPr>
    </w:p>
    <w:p w14:paraId="051D7A26" w14:textId="77777777" w:rsidR="00291AB7" w:rsidRPr="002D0027" w:rsidRDefault="00291AB7" w:rsidP="00291AB7">
      <w:pPr>
        <w:rPr>
          <w:rFonts w:ascii="Arial" w:hAnsi="Arial" w:cs="Arial"/>
          <w:iCs/>
          <w:color w:val="136C73"/>
          <w:sz w:val="22"/>
          <w:szCs w:val="22"/>
          <w:lang w:eastAsia="lt-LT"/>
        </w:rPr>
      </w:pPr>
    </w:p>
    <w:p w14:paraId="56E3AAC4" w14:textId="03C3C677" w:rsidR="00291AB7" w:rsidRPr="00D8335B" w:rsidRDefault="00BE720C" w:rsidP="00291AB7">
      <w:pPr>
        <w:rPr>
          <w:rFonts w:ascii="Arial" w:hAnsi="Arial" w:cs="Arial"/>
          <w:b/>
          <w:bCs/>
          <w:iCs/>
          <w:color w:val="5B0009"/>
          <w:sz w:val="22"/>
          <w:szCs w:val="22"/>
          <w:lang w:eastAsia="lt-LT"/>
        </w:rPr>
      </w:pPr>
      <w:r>
        <w:rPr>
          <w:rFonts w:ascii="Arial" w:hAnsi="Arial" w:cs="Arial"/>
          <w:b/>
          <w:bCs/>
          <w:iCs/>
          <w:color w:val="5B0009"/>
          <w:sz w:val="22"/>
          <w:szCs w:val="22"/>
          <w:lang w:eastAsia="lt-LT"/>
        </w:rPr>
        <w:t xml:space="preserve">         </w:t>
      </w:r>
      <w:r w:rsidR="00291AB7" w:rsidRPr="00D8335B">
        <w:rPr>
          <w:rFonts w:ascii="Arial" w:hAnsi="Arial" w:cs="Arial"/>
          <w:b/>
          <w:bCs/>
          <w:iCs/>
          <w:color w:val="5B0009"/>
          <w:sz w:val="22"/>
          <w:szCs w:val="22"/>
          <w:lang w:eastAsia="lt-LT"/>
        </w:rPr>
        <w:t>Antroji pakopa/LT</w:t>
      </w:r>
      <w:r w:rsidR="00535C59">
        <w:rPr>
          <w:rFonts w:ascii="Arial" w:hAnsi="Arial" w:cs="Arial"/>
          <w:b/>
          <w:bCs/>
          <w:iCs/>
          <w:color w:val="5B0009"/>
          <w:sz w:val="22"/>
          <w:szCs w:val="22"/>
          <w:lang w:eastAsia="lt-LT"/>
        </w:rPr>
        <w:t>KS</w:t>
      </w:r>
      <w:r w:rsidR="00291AB7" w:rsidRPr="00D8335B">
        <w:rPr>
          <w:rFonts w:ascii="Arial" w:hAnsi="Arial" w:cs="Arial"/>
          <w:b/>
          <w:bCs/>
          <w:iCs/>
          <w:color w:val="5B0009"/>
          <w:sz w:val="22"/>
          <w:szCs w:val="22"/>
          <w:lang w:eastAsia="lt-LT"/>
        </w:rPr>
        <w:t xml:space="preserve"> 7</w:t>
      </w:r>
    </w:p>
    <w:tbl>
      <w:tblPr>
        <w:tblStyle w:val="TableGrid"/>
        <w:tblW w:w="3990" w:type="pct"/>
        <w:tblInd w:w="562" w:type="dxa"/>
        <w:tblLayout w:type="fixed"/>
        <w:tblLook w:val="04A0" w:firstRow="1" w:lastRow="0" w:firstColumn="1" w:lastColumn="0" w:noHBand="0" w:noVBand="1"/>
      </w:tblPr>
      <w:tblGrid>
        <w:gridCol w:w="3970"/>
        <w:gridCol w:w="3826"/>
      </w:tblGrid>
      <w:tr w:rsidR="0098392D" w:rsidRPr="002D0027" w14:paraId="2914299A" w14:textId="77777777" w:rsidTr="00BE720C">
        <w:trPr>
          <w:trHeight w:val="510"/>
        </w:trPr>
        <w:tc>
          <w:tcPr>
            <w:tcW w:w="2546" w:type="pct"/>
            <w:shd w:val="clear" w:color="auto" w:fill="5B0009"/>
            <w:vAlign w:val="center"/>
          </w:tcPr>
          <w:p w14:paraId="771B0C6C" w14:textId="33744E0D"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2454" w:type="pct"/>
            <w:shd w:val="clear" w:color="136C73" w:fill="FFFFFF" w:themeFill="background1"/>
            <w:vAlign w:val="center"/>
          </w:tcPr>
          <w:p w14:paraId="63B888AA" w14:textId="5ABBF655" w:rsidR="0098392D" w:rsidRPr="002D0027" w:rsidRDefault="0098392D" w:rsidP="00F50679">
            <w:pPr>
              <w:rPr>
                <w:rFonts w:ascii="Arial" w:eastAsiaTheme="majorEastAsia" w:hAnsi="Arial" w:cs="Arial"/>
                <w:b/>
                <w:iCs/>
                <w:sz w:val="22"/>
                <w:szCs w:val="22"/>
              </w:rPr>
            </w:pPr>
            <w:r>
              <w:rPr>
                <w:rFonts w:ascii="Arial" w:eastAsiaTheme="majorEastAsia" w:hAnsi="Arial" w:cs="Arial"/>
                <w:b/>
                <w:iCs/>
                <w:sz w:val="22"/>
                <w:szCs w:val="22"/>
              </w:rPr>
              <w:t>Nacionalinis saugumas</w:t>
            </w:r>
          </w:p>
        </w:tc>
      </w:tr>
      <w:tr w:rsidR="0098392D" w:rsidRPr="002D0027" w14:paraId="52206648" w14:textId="77777777" w:rsidTr="00BE720C">
        <w:trPr>
          <w:trHeight w:val="510"/>
        </w:trPr>
        <w:tc>
          <w:tcPr>
            <w:tcW w:w="2546" w:type="pct"/>
            <w:shd w:val="clear" w:color="auto" w:fill="5B0009"/>
            <w:vAlign w:val="center"/>
          </w:tcPr>
          <w:p w14:paraId="058CB112" w14:textId="0763208E"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2454" w:type="pct"/>
            <w:vAlign w:val="center"/>
          </w:tcPr>
          <w:p w14:paraId="0171B4E4" w14:textId="7F762AC1" w:rsidR="0098392D" w:rsidRPr="002D0027" w:rsidRDefault="00407505"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6</w:t>
            </w:r>
            <w:r>
              <w:rPr>
                <w:rStyle w:val="fontstyle01"/>
                <w:rFonts w:eastAsiaTheme="majorEastAsia"/>
                <w:bCs/>
                <w:sz w:val="22"/>
                <w:szCs w:val="22"/>
              </w:rPr>
              <w:t>211JX087</w:t>
            </w:r>
          </w:p>
        </w:tc>
      </w:tr>
      <w:tr w:rsidR="0098392D" w:rsidRPr="002D0027" w14:paraId="1A6FD723" w14:textId="77777777" w:rsidTr="00BE720C">
        <w:trPr>
          <w:trHeight w:val="510"/>
        </w:trPr>
        <w:tc>
          <w:tcPr>
            <w:tcW w:w="2546" w:type="pct"/>
            <w:shd w:val="clear" w:color="auto" w:fill="5B0009"/>
            <w:vAlign w:val="center"/>
          </w:tcPr>
          <w:p w14:paraId="4000BB3F" w14:textId="398CC651"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2454" w:type="pct"/>
            <w:vAlign w:val="center"/>
          </w:tcPr>
          <w:p w14:paraId="771C3E5E" w14:textId="3D488E97" w:rsidR="0098392D" w:rsidRPr="002D0027" w:rsidRDefault="00407505" w:rsidP="00F50679">
            <w:pPr>
              <w:rPr>
                <w:rFonts w:ascii="Arial" w:eastAsiaTheme="majorEastAsia" w:hAnsi="Arial" w:cs="Arial"/>
                <w:bCs/>
                <w:iCs/>
                <w:sz w:val="22"/>
                <w:szCs w:val="22"/>
              </w:rPr>
            </w:pPr>
            <w:r>
              <w:rPr>
                <w:rFonts w:ascii="Arial" w:eastAsiaTheme="majorEastAsia" w:hAnsi="Arial" w:cs="Arial"/>
                <w:bCs/>
                <w:iCs/>
                <w:sz w:val="22"/>
                <w:szCs w:val="22"/>
              </w:rPr>
              <w:t>Universitetinės</w:t>
            </w:r>
          </w:p>
        </w:tc>
      </w:tr>
      <w:tr w:rsidR="0098392D" w:rsidRPr="002D0027" w14:paraId="412454FC" w14:textId="77777777" w:rsidTr="00BE720C">
        <w:trPr>
          <w:trHeight w:val="510"/>
        </w:trPr>
        <w:tc>
          <w:tcPr>
            <w:tcW w:w="2546" w:type="pct"/>
            <w:shd w:val="clear" w:color="auto" w:fill="5B0009"/>
            <w:vAlign w:val="center"/>
          </w:tcPr>
          <w:p w14:paraId="4F9D18CE" w14:textId="21ABDAA8"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2454" w:type="pct"/>
            <w:vAlign w:val="center"/>
          </w:tcPr>
          <w:p w14:paraId="58CD6E6D" w14:textId="72FD9147" w:rsidR="0098392D" w:rsidRPr="002D0027" w:rsidRDefault="00407505" w:rsidP="00F50679">
            <w:pPr>
              <w:rPr>
                <w:rFonts w:ascii="Arial" w:eastAsiaTheme="majorEastAsia" w:hAnsi="Arial" w:cs="Arial"/>
                <w:bCs/>
                <w:iCs/>
                <w:sz w:val="22"/>
                <w:szCs w:val="22"/>
              </w:rPr>
            </w:pPr>
            <w:r>
              <w:rPr>
                <w:rFonts w:ascii="Arial" w:eastAsiaTheme="majorEastAsia" w:hAnsi="Arial" w:cs="Arial"/>
                <w:bCs/>
                <w:iCs/>
                <w:sz w:val="22"/>
                <w:szCs w:val="22"/>
              </w:rPr>
              <w:t>Nuolatinė,  1,5 metų</w:t>
            </w:r>
          </w:p>
        </w:tc>
      </w:tr>
      <w:tr w:rsidR="0098392D" w:rsidRPr="002D0027" w14:paraId="3CE21482" w14:textId="77777777" w:rsidTr="00BE720C">
        <w:trPr>
          <w:trHeight w:val="510"/>
        </w:trPr>
        <w:tc>
          <w:tcPr>
            <w:tcW w:w="2546" w:type="pct"/>
            <w:shd w:val="clear" w:color="auto" w:fill="5B0009"/>
            <w:vAlign w:val="center"/>
          </w:tcPr>
          <w:p w14:paraId="29DD30E6" w14:textId="783E9330"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2454" w:type="pct"/>
            <w:vAlign w:val="center"/>
          </w:tcPr>
          <w:p w14:paraId="25A9A9DE" w14:textId="32610CDC" w:rsidR="0098392D" w:rsidRPr="002D0027" w:rsidRDefault="00BD530A" w:rsidP="00F50679">
            <w:pPr>
              <w:rPr>
                <w:rFonts w:ascii="Arial" w:eastAsiaTheme="majorEastAsia" w:hAnsi="Arial" w:cs="Arial"/>
                <w:bCs/>
                <w:iCs/>
                <w:sz w:val="22"/>
                <w:szCs w:val="22"/>
              </w:rPr>
            </w:pPr>
            <w:r>
              <w:rPr>
                <w:rFonts w:ascii="Arial" w:eastAsiaTheme="majorEastAsia" w:hAnsi="Arial" w:cs="Arial"/>
                <w:bCs/>
                <w:iCs/>
                <w:sz w:val="22"/>
                <w:szCs w:val="22"/>
              </w:rPr>
              <w:t>90</w:t>
            </w:r>
          </w:p>
        </w:tc>
      </w:tr>
      <w:tr w:rsidR="0098392D" w:rsidRPr="002D0027" w14:paraId="47DA9AD0" w14:textId="77777777" w:rsidTr="00BE720C">
        <w:trPr>
          <w:trHeight w:val="510"/>
        </w:trPr>
        <w:tc>
          <w:tcPr>
            <w:tcW w:w="2546" w:type="pct"/>
            <w:shd w:val="clear" w:color="auto" w:fill="5B0009"/>
            <w:vAlign w:val="center"/>
          </w:tcPr>
          <w:p w14:paraId="48398AFB" w14:textId="17006188"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2454" w:type="pct"/>
            <w:vAlign w:val="center"/>
          </w:tcPr>
          <w:p w14:paraId="62958B29" w14:textId="2C95123B" w:rsidR="0098392D" w:rsidRPr="002D0027" w:rsidRDefault="00BD530A" w:rsidP="00F50679">
            <w:pPr>
              <w:rPr>
                <w:rFonts w:ascii="Arial" w:eastAsiaTheme="majorEastAsia" w:hAnsi="Arial" w:cs="Arial"/>
                <w:bCs/>
                <w:iCs/>
                <w:sz w:val="22"/>
                <w:szCs w:val="22"/>
              </w:rPr>
            </w:pPr>
            <w:r>
              <w:rPr>
                <w:rFonts w:ascii="Arial" w:eastAsiaTheme="majorEastAsia" w:hAnsi="Arial" w:cs="Arial"/>
                <w:bCs/>
                <w:iCs/>
                <w:sz w:val="22"/>
                <w:szCs w:val="22"/>
              </w:rPr>
              <w:t>Socialinių mokslų magistras</w:t>
            </w:r>
          </w:p>
        </w:tc>
      </w:tr>
      <w:tr w:rsidR="0098392D" w:rsidRPr="002D0027" w14:paraId="2EE2FD42" w14:textId="77777777" w:rsidTr="00BE720C">
        <w:trPr>
          <w:trHeight w:val="510"/>
        </w:trPr>
        <w:tc>
          <w:tcPr>
            <w:tcW w:w="2546" w:type="pct"/>
            <w:shd w:val="clear" w:color="auto" w:fill="5B0009"/>
            <w:vAlign w:val="center"/>
          </w:tcPr>
          <w:p w14:paraId="2871F335" w14:textId="5C23B35A"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2454" w:type="pct"/>
            <w:vAlign w:val="center"/>
          </w:tcPr>
          <w:p w14:paraId="368C0355" w14:textId="3F3F9DD1" w:rsidR="0098392D" w:rsidRPr="002D0027" w:rsidRDefault="00BD530A" w:rsidP="00F50679">
            <w:pPr>
              <w:rPr>
                <w:rFonts w:ascii="Arial" w:eastAsiaTheme="majorEastAsia" w:hAnsi="Arial" w:cs="Arial"/>
                <w:bCs/>
                <w:iCs/>
                <w:sz w:val="22"/>
                <w:szCs w:val="22"/>
              </w:rPr>
            </w:pPr>
            <w:r>
              <w:rPr>
                <w:rFonts w:ascii="Arial" w:eastAsiaTheme="majorEastAsia" w:hAnsi="Arial" w:cs="Arial"/>
                <w:bCs/>
                <w:iCs/>
                <w:sz w:val="22"/>
                <w:szCs w:val="22"/>
              </w:rPr>
              <w:t>Lietuvių</w:t>
            </w:r>
          </w:p>
        </w:tc>
      </w:tr>
      <w:tr w:rsidR="0098392D" w:rsidRPr="002D0027" w14:paraId="1DB46E3D" w14:textId="77777777" w:rsidTr="00BE720C">
        <w:trPr>
          <w:trHeight w:val="510"/>
        </w:trPr>
        <w:tc>
          <w:tcPr>
            <w:tcW w:w="2546" w:type="pct"/>
            <w:shd w:val="clear" w:color="auto" w:fill="5B0009"/>
            <w:vAlign w:val="center"/>
          </w:tcPr>
          <w:p w14:paraId="551A9E1F" w14:textId="65E65275"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2454" w:type="pct"/>
            <w:vAlign w:val="center"/>
          </w:tcPr>
          <w:p w14:paraId="79310099" w14:textId="3296AA6B" w:rsidR="0098392D" w:rsidRPr="002D0027" w:rsidRDefault="00EE3757" w:rsidP="00F50679">
            <w:pPr>
              <w:rPr>
                <w:rFonts w:ascii="Arial" w:eastAsiaTheme="majorEastAsia" w:hAnsi="Arial" w:cs="Arial"/>
                <w:bCs/>
                <w:iCs/>
                <w:sz w:val="22"/>
                <w:szCs w:val="22"/>
              </w:rPr>
            </w:pPr>
            <w:r w:rsidRPr="00EE3757">
              <w:rPr>
                <w:rFonts w:ascii="Arial" w:eastAsiaTheme="majorEastAsia" w:hAnsi="Arial" w:cs="Arial"/>
                <w:bCs/>
                <w:iCs/>
                <w:sz w:val="22"/>
                <w:szCs w:val="22"/>
              </w:rPr>
              <w:t>Asmenys, turintys universitetinį bakalauro kvalifikacinį laipsnį arba turintys profesinio bakalauro kvalifikacinį laipsnį ir studijų metu papildomai studijuojantys pagal atitinkamų papildomųjų studijų programą</w:t>
            </w:r>
          </w:p>
        </w:tc>
      </w:tr>
      <w:tr w:rsidR="0098392D" w:rsidRPr="002D0027" w14:paraId="73A0D7D6" w14:textId="77777777" w:rsidTr="00BE720C">
        <w:trPr>
          <w:trHeight w:val="510"/>
        </w:trPr>
        <w:tc>
          <w:tcPr>
            <w:tcW w:w="2546" w:type="pct"/>
            <w:shd w:val="clear" w:color="auto" w:fill="5B0009"/>
            <w:vAlign w:val="center"/>
          </w:tcPr>
          <w:p w14:paraId="2DF5DF65" w14:textId="26B8A471"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2454" w:type="pct"/>
            <w:vAlign w:val="center"/>
          </w:tcPr>
          <w:p w14:paraId="4C87F93C" w14:textId="3D325D0B" w:rsidR="0098392D" w:rsidRPr="002D0027" w:rsidRDefault="00EE3757"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2</w:t>
            </w:r>
            <w:r>
              <w:rPr>
                <w:rStyle w:val="fontstyle01"/>
                <w:rFonts w:eastAsiaTheme="majorEastAsia"/>
                <w:bCs/>
                <w:sz w:val="22"/>
                <w:szCs w:val="22"/>
              </w:rPr>
              <w:t>015-06-09</w:t>
            </w:r>
          </w:p>
        </w:tc>
      </w:tr>
      <w:tr w:rsidR="0098392D" w:rsidRPr="002D0027" w14:paraId="63954F6C" w14:textId="77777777" w:rsidTr="00BE720C">
        <w:trPr>
          <w:trHeight w:val="510"/>
        </w:trPr>
        <w:tc>
          <w:tcPr>
            <w:tcW w:w="2546" w:type="pct"/>
            <w:shd w:val="clear" w:color="auto" w:fill="5B0009"/>
            <w:vAlign w:val="center"/>
          </w:tcPr>
          <w:p w14:paraId="7C852838" w14:textId="357EDF5A" w:rsidR="0098392D" w:rsidRPr="002D0027" w:rsidRDefault="0098392D" w:rsidP="00F50679">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2454" w:type="pct"/>
            <w:vAlign w:val="center"/>
          </w:tcPr>
          <w:p w14:paraId="1B64F9BC" w14:textId="290DF1E3" w:rsidR="0098392D" w:rsidRPr="002D0027" w:rsidRDefault="004E12F8" w:rsidP="00F50679">
            <w:pPr>
              <w:rPr>
                <w:rStyle w:val="fontstyle01"/>
                <w:rFonts w:ascii="Arial" w:eastAsiaTheme="majorEastAsia" w:hAnsi="Arial" w:cs="Arial"/>
                <w:bCs/>
                <w:iCs/>
                <w:sz w:val="22"/>
                <w:szCs w:val="22"/>
              </w:rPr>
            </w:pPr>
            <w:r>
              <w:rPr>
                <w:rStyle w:val="fontstyle01"/>
                <w:rFonts w:ascii="Arial" w:eastAsiaTheme="majorEastAsia" w:hAnsi="Arial" w:cs="Arial"/>
                <w:bCs/>
                <w:iCs/>
                <w:sz w:val="22"/>
                <w:szCs w:val="22"/>
              </w:rPr>
              <w:t>N</w:t>
            </w:r>
            <w:r>
              <w:rPr>
                <w:rStyle w:val="fontstyle01"/>
                <w:rFonts w:eastAsiaTheme="majorEastAsia"/>
                <w:bCs/>
                <w:sz w:val="22"/>
                <w:szCs w:val="22"/>
              </w:rPr>
              <w:t>/A</w:t>
            </w:r>
          </w:p>
        </w:tc>
      </w:tr>
    </w:tbl>
    <w:p w14:paraId="7214C7E9" w14:textId="77777777" w:rsidR="00291AB7" w:rsidRPr="002D0027" w:rsidRDefault="00291AB7" w:rsidP="00291AB7">
      <w:pPr>
        <w:rPr>
          <w:rFonts w:ascii="Arial" w:hAnsi="Arial" w:cs="Arial"/>
          <w:iCs/>
          <w:color w:val="136C73"/>
          <w:lang w:eastAsia="lt-LT"/>
        </w:rPr>
      </w:pPr>
    </w:p>
    <w:p w14:paraId="22462225" w14:textId="77777777" w:rsidR="00291AB7" w:rsidRPr="002D0027" w:rsidRDefault="00291AB7" w:rsidP="00291AB7">
      <w:pPr>
        <w:spacing w:line="276" w:lineRule="auto"/>
        <w:rPr>
          <w:rFonts w:ascii="Arial" w:eastAsia="Calibri" w:hAnsi="Arial" w:cs="Arial"/>
          <w:lang w:eastAsia="lt-LT"/>
        </w:rPr>
      </w:pPr>
      <w:r w:rsidRPr="002D0027">
        <w:rPr>
          <w:rFonts w:ascii="Arial" w:eastAsia="Calibri" w:hAnsi="Arial" w:cs="Arial"/>
          <w:lang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2A8FCF02" w14:textId="77777777" w:rsidR="00F468FC" w:rsidRPr="002D0027" w:rsidRDefault="00F468FC" w:rsidP="00291AB7">
      <w:pPr>
        <w:rPr>
          <w:rFonts w:ascii="Arial" w:hAnsi="Arial" w:cs="Arial"/>
          <w:lang w:eastAsia="lt-LT"/>
        </w:rPr>
      </w:pPr>
    </w:p>
    <w:p w14:paraId="433D73AC" w14:textId="74208332" w:rsidR="00291AB7" w:rsidRPr="002D0027" w:rsidRDefault="00F468FC" w:rsidP="00291AB7">
      <w:pPr>
        <w:rPr>
          <w:rFonts w:ascii="Arial" w:hAnsi="Arial" w:cs="Arial"/>
        </w:rPr>
      </w:pPr>
      <w:r w:rsidRPr="00D8335B">
        <w:rPr>
          <w:rFonts w:ascii="Arial" w:hAnsi="Arial" w:cs="Arial"/>
          <w:b/>
          <w:bCs/>
          <w:color w:val="5B0009"/>
        </w:rPr>
        <w:t>Antrosios pakopos</w:t>
      </w:r>
      <w:r w:rsidRPr="00D8335B">
        <w:rPr>
          <w:rFonts w:ascii="Arial" w:hAnsi="Arial" w:cs="Arial"/>
          <w:color w:val="5B0009"/>
        </w:rPr>
        <w:t xml:space="preserve"> </w:t>
      </w:r>
      <w:r w:rsidR="00F80EFD">
        <w:rPr>
          <w:rFonts w:ascii="Arial" w:hAnsi="Arial" w:cs="Arial"/>
        </w:rPr>
        <w:t>politikos mokslų</w:t>
      </w:r>
      <w:r w:rsidRPr="002D0027">
        <w:rPr>
          <w:rFonts w:ascii="Arial" w:hAnsi="Arial" w:cs="Arial"/>
        </w:rPr>
        <w:t xml:space="preserve"> krypties studijos vertinamos </w:t>
      </w:r>
      <w:r w:rsidRPr="00D8335B">
        <w:rPr>
          <w:rFonts w:ascii="Arial" w:hAnsi="Arial" w:cs="Arial"/>
          <w:b/>
          <w:bCs/>
          <w:color w:val="5B0009"/>
        </w:rPr>
        <w:t>teigiamai</w:t>
      </w:r>
      <w:r w:rsidRPr="002D0027">
        <w:rPr>
          <w:rFonts w:ascii="Arial" w:hAnsi="Arial" w:cs="Arial"/>
        </w:rPr>
        <w:t>.</w:t>
      </w:r>
    </w:p>
    <w:p w14:paraId="3E2DAA77"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040B66D8" w14:textId="77777777" w:rsidTr="00F50679">
        <w:tc>
          <w:tcPr>
            <w:tcW w:w="673" w:type="dxa"/>
            <w:vAlign w:val="center"/>
          </w:tcPr>
          <w:p w14:paraId="278B72A4" w14:textId="777418B1" w:rsidR="00291AB7" w:rsidRPr="002D0027" w:rsidRDefault="00291AB7" w:rsidP="00F50679">
            <w:pPr>
              <w:jc w:val="center"/>
              <w:rPr>
                <w:rFonts w:ascii="Arial" w:eastAsia="Calibri" w:hAnsi="Arial" w:cs="Arial"/>
                <w:b/>
                <w:iCs/>
                <w:color w:val="136C73"/>
                <w:lang w:eastAsia="lt-LT"/>
              </w:rPr>
            </w:pPr>
            <w:r w:rsidRPr="00F80EFD">
              <w:rPr>
                <w:rFonts w:ascii="Arial" w:eastAsia="Calibri" w:hAnsi="Arial" w:cs="Arial"/>
                <w:b/>
                <w:iCs/>
                <w:color w:val="632423" w:themeColor="accent2" w:themeShade="80"/>
                <w:lang w:eastAsia="lt-LT"/>
              </w:rPr>
              <w:t>N</w:t>
            </w:r>
            <w:r w:rsidR="008D61B1" w:rsidRPr="00F80EFD">
              <w:rPr>
                <w:rFonts w:ascii="Arial" w:eastAsia="Calibri" w:hAnsi="Arial" w:cs="Arial"/>
                <w:b/>
                <w:iCs/>
                <w:color w:val="632423" w:themeColor="accent2" w:themeShade="80"/>
                <w:lang w:eastAsia="lt-LT"/>
              </w:rPr>
              <w:t>r</w:t>
            </w:r>
            <w:r w:rsidRPr="00F80EFD">
              <w:rPr>
                <w:rFonts w:ascii="Arial" w:eastAsia="Calibri" w:hAnsi="Arial" w:cs="Arial"/>
                <w:b/>
                <w:iCs/>
                <w:color w:val="632423" w:themeColor="accent2" w:themeShade="80"/>
                <w:lang w:eastAsia="lt-LT"/>
              </w:rPr>
              <w:t>.</w:t>
            </w:r>
          </w:p>
        </w:tc>
        <w:tc>
          <w:tcPr>
            <w:tcW w:w="7121" w:type="dxa"/>
            <w:vAlign w:val="center"/>
          </w:tcPr>
          <w:p w14:paraId="2BB9B94C" w14:textId="441383BA"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2"/>
              <w:sym w:font="Symbol" w:char="F02A"/>
            </w:r>
          </w:p>
        </w:tc>
      </w:tr>
      <w:tr w:rsidR="00291AB7" w:rsidRPr="002D0027" w14:paraId="5801439A" w14:textId="77777777" w:rsidTr="00F50679">
        <w:trPr>
          <w:trHeight w:val="397"/>
        </w:trPr>
        <w:tc>
          <w:tcPr>
            <w:tcW w:w="673" w:type="dxa"/>
            <w:vAlign w:val="center"/>
          </w:tcPr>
          <w:p w14:paraId="4475172E"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5B0707B7" w14:textId="0A2BCA20"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37BFE6AD" w14:textId="1E5602F0"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093D7242" w14:textId="77777777" w:rsidTr="00F50679">
        <w:trPr>
          <w:trHeight w:val="397"/>
        </w:trPr>
        <w:tc>
          <w:tcPr>
            <w:tcW w:w="673" w:type="dxa"/>
            <w:vAlign w:val="center"/>
          </w:tcPr>
          <w:p w14:paraId="438B531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2FFABFD" w14:textId="159BA526"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3575F4CF" w14:textId="64BB68B5"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74C8DD34" w14:textId="77777777" w:rsidTr="00F50679">
        <w:trPr>
          <w:trHeight w:val="397"/>
        </w:trPr>
        <w:tc>
          <w:tcPr>
            <w:tcW w:w="673" w:type="dxa"/>
            <w:vAlign w:val="center"/>
          </w:tcPr>
          <w:p w14:paraId="1555054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79B82A37" w14:textId="02AA499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9386D61" w14:textId="04ACD873"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74085EC7" w14:textId="77777777" w:rsidTr="00F50679">
        <w:trPr>
          <w:trHeight w:val="397"/>
        </w:trPr>
        <w:tc>
          <w:tcPr>
            <w:tcW w:w="673" w:type="dxa"/>
            <w:vAlign w:val="center"/>
          </w:tcPr>
          <w:p w14:paraId="58DB1238"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6756D1C6" w14:textId="79B2E238"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08BA7432" w14:textId="75F86E71"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44BDE6FE" w14:textId="77777777" w:rsidTr="00F50679">
        <w:trPr>
          <w:trHeight w:val="397"/>
        </w:trPr>
        <w:tc>
          <w:tcPr>
            <w:tcW w:w="673" w:type="dxa"/>
            <w:vAlign w:val="center"/>
          </w:tcPr>
          <w:p w14:paraId="0028F67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3E84554D" w14:textId="07383AD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75C9408A" w14:textId="56B1EDDE"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2</w:t>
            </w:r>
          </w:p>
        </w:tc>
      </w:tr>
      <w:tr w:rsidR="00291AB7" w:rsidRPr="002D0027" w14:paraId="29C25AF4" w14:textId="77777777" w:rsidTr="00F50679">
        <w:trPr>
          <w:trHeight w:val="397"/>
        </w:trPr>
        <w:tc>
          <w:tcPr>
            <w:tcW w:w="673" w:type="dxa"/>
            <w:vAlign w:val="center"/>
          </w:tcPr>
          <w:p w14:paraId="445377A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512282FB" w14:textId="154F5F3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3407C94D" w14:textId="02FF5191"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27FBED3F" w14:textId="77777777" w:rsidTr="00F50679">
        <w:trPr>
          <w:trHeight w:val="397"/>
        </w:trPr>
        <w:tc>
          <w:tcPr>
            <w:tcW w:w="673" w:type="dxa"/>
            <w:vAlign w:val="center"/>
          </w:tcPr>
          <w:p w14:paraId="2027FD2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3927E26A" w14:textId="6151BE7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4A25D227" w14:textId="17E8DB14"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3</w:t>
            </w:r>
          </w:p>
        </w:tc>
      </w:tr>
      <w:tr w:rsidR="00291AB7" w:rsidRPr="002D0027" w14:paraId="3EE6FFB2" w14:textId="77777777" w:rsidTr="00F50679">
        <w:trPr>
          <w:trHeight w:val="397"/>
        </w:trPr>
        <w:tc>
          <w:tcPr>
            <w:tcW w:w="7794" w:type="dxa"/>
            <w:gridSpan w:val="2"/>
            <w:vAlign w:val="center"/>
          </w:tcPr>
          <w:p w14:paraId="06C963E1" w14:textId="70A76F7A"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Iš viso</w:t>
            </w:r>
            <w:r w:rsidR="00291AB7" w:rsidRPr="002D0027">
              <w:rPr>
                <w:rFonts w:ascii="Arial" w:eastAsia="Calibri" w:hAnsi="Arial" w:cs="Arial"/>
                <w:b/>
                <w:iCs/>
                <w:lang w:eastAsia="lt-LT"/>
              </w:rPr>
              <w:t>:</w:t>
            </w:r>
          </w:p>
        </w:tc>
        <w:tc>
          <w:tcPr>
            <w:tcW w:w="1834" w:type="dxa"/>
            <w:vAlign w:val="center"/>
          </w:tcPr>
          <w:p w14:paraId="770967FB" w14:textId="5C47169B" w:rsidR="00291AB7" w:rsidRPr="002D0027" w:rsidRDefault="00F80EFD" w:rsidP="00F50679">
            <w:pPr>
              <w:jc w:val="center"/>
              <w:rPr>
                <w:rFonts w:ascii="Arial" w:eastAsia="Calibri" w:hAnsi="Arial" w:cs="Arial"/>
                <w:iCs/>
                <w:lang w:eastAsia="lt-LT"/>
              </w:rPr>
            </w:pPr>
            <w:r>
              <w:rPr>
                <w:rFonts w:ascii="Arial" w:eastAsia="Calibri" w:hAnsi="Arial" w:cs="Arial"/>
                <w:iCs/>
                <w:lang w:eastAsia="lt-LT"/>
              </w:rPr>
              <w:t>17</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Heading2"/>
        <w:rPr>
          <w:rFonts w:ascii="Arial" w:hAnsi="Arial" w:cs="Arial"/>
          <w:color w:val="5B0009"/>
          <w:sz w:val="28"/>
          <w:szCs w:val="28"/>
          <w:lang w:val="lt-LT"/>
        </w:rPr>
      </w:pPr>
      <w:bookmarkStart w:id="1"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4450FF">
        <w:tc>
          <w:tcPr>
            <w:tcW w:w="1720"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9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3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520"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49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ECB8AC0" w14:textId="77777777" w:rsidTr="004450FF">
        <w:tc>
          <w:tcPr>
            <w:tcW w:w="1720" w:type="dxa"/>
            <w:vAlign w:val="center"/>
          </w:tcPr>
          <w:p w14:paraId="4DE2B9F7" w14:textId="42E639B7"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35" w:type="dxa"/>
            <w:vAlign w:val="center"/>
          </w:tcPr>
          <w:p w14:paraId="7407F850" w14:textId="5DB9F416" w:rsidR="00291AB7" w:rsidRPr="002D0027" w:rsidRDefault="004450FF"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70CDFBC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29414F6C"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495"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2"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2"/>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51C59F52" w14:textId="77777777" w:rsidR="00B20CC3" w:rsidRPr="00BE720C" w:rsidRDefault="00B20CC3" w:rsidP="00BE720C">
      <w:pPr>
        <w:numPr>
          <w:ilvl w:val="0"/>
          <w:numId w:val="24"/>
        </w:numPr>
        <w:pBdr>
          <w:top w:val="nil"/>
          <w:left w:val="nil"/>
          <w:bottom w:val="nil"/>
          <w:right w:val="nil"/>
          <w:between w:val="nil"/>
        </w:pBdr>
        <w:spacing w:line="276" w:lineRule="auto"/>
        <w:jc w:val="both"/>
        <w:rPr>
          <w:rFonts w:ascii="Arial" w:eastAsia="Arial" w:hAnsi="Arial" w:cs="Arial"/>
          <w:color w:val="000000"/>
          <w:sz w:val="22"/>
          <w:szCs w:val="22"/>
        </w:rPr>
      </w:pPr>
      <w:r w:rsidRPr="00BE720C">
        <w:rPr>
          <w:rFonts w:ascii="Arial" w:eastAsia="Arial" w:hAnsi="Arial" w:cs="Arial"/>
          <w:sz w:val="22"/>
          <w:szCs w:val="22"/>
        </w:rPr>
        <w:t>Studentų pasitenkinimas yra didelis, o nedidelis skaičius studentų sukuria teigiamą patirtį.</w:t>
      </w:r>
    </w:p>
    <w:p w14:paraId="257DF70A" w14:textId="77777777" w:rsidR="00B20CC3" w:rsidRPr="00BE720C" w:rsidRDefault="00B20CC3" w:rsidP="00BE720C">
      <w:pPr>
        <w:numPr>
          <w:ilvl w:val="0"/>
          <w:numId w:val="24"/>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Labai aukštas absolventų lojalumo lygis.</w:t>
      </w:r>
    </w:p>
    <w:p w14:paraId="63CC17F5" w14:textId="77777777" w:rsidR="00291AB7" w:rsidRPr="002D0027" w:rsidRDefault="00291AB7" w:rsidP="00CF1D8A">
      <w:pPr>
        <w:spacing w:line="276" w:lineRule="auto"/>
        <w:rPr>
          <w:rFonts w:ascii="Arial" w:hAnsi="Arial" w:cs="Arial"/>
          <w:b/>
          <w:bCs/>
          <w:color w:val="136C73"/>
          <w:sz w:val="22"/>
          <w:szCs w:val="22"/>
          <w:lang w:eastAsia="lt-LT"/>
        </w:rPr>
      </w:pPr>
    </w:p>
    <w:p w14:paraId="27C00BEA" w14:textId="26354CB6" w:rsidR="00291AB7"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0D95D7CB" w14:textId="77777777" w:rsidR="00291AB7" w:rsidRPr="002D0027" w:rsidRDefault="00291AB7"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3CBAD9B" w14:textId="76E6DCC6" w:rsidR="00291AB7" w:rsidRPr="000D455C" w:rsidRDefault="007E04D8" w:rsidP="00CF1D8A">
      <w:pPr>
        <w:tabs>
          <w:tab w:val="left" w:pos="1298"/>
          <w:tab w:val="left" w:pos="1985"/>
        </w:tabs>
        <w:spacing w:line="276" w:lineRule="auto"/>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Trūkumams šalinti</w:t>
      </w:r>
    </w:p>
    <w:p w14:paraId="0826CC5F" w14:textId="77777777" w:rsidR="007E04D8" w:rsidRPr="002D0027" w:rsidRDefault="007E04D8" w:rsidP="00CF1D8A">
      <w:pPr>
        <w:tabs>
          <w:tab w:val="left" w:pos="1298"/>
          <w:tab w:val="left" w:pos="1985"/>
        </w:tabs>
        <w:spacing w:line="276" w:lineRule="auto"/>
        <w:jc w:val="both"/>
        <w:rPr>
          <w:rFonts w:ascii="Arial" w:eastAsia="Calibri" w:hAnsi="Arial" w:cs="Arial"/>
          <w:iCs/>
          <w:sz w:val="22"/>
          <w:szCs w:val="22"/>
          <w:lang w:eastAsia="lt-LT"/>
        </w:rPr>
      </w:pPr>
    </w:p>
    <w:p w14:paraId="36C0576F" w14:textId="77777777" w:rsidR="00B278D5" w:rsidRPr="00BE720C" w:rsidRDefault="00B278D5" w:rsidP="00BE720C">
      <w:pPr>
        <w:numPr>
          <w:ilvl w:val="0"/>
          <w:numId w:val="25"/>
        </w:numPr>
        <w:pBdr>
          <w:top w:val="nil"/>
          <w:left w:val="nil"/>
          <w:bottom w:val="nil"/>
          <w:right w:val="nil"/>
          <w:between w:val="nil"/>
        </w:pBdr>
        <w:spacing w:line="276" w:lineRule="auto"/>
        <w:jc w:val="both"/>
        <w:rPr>
          <w:rFonts w:ascii="Arial" w:eastAsia="Arial" w:hAnsi="Arial" w:cs="Arial"/>
          <w:color w:val="000000"/>
          <w:sz w:val="22"/>
          <w:szCs w:val="22"/>
        </w:rPr>
      </w:pPr>
      <w:r w:rsidRPr="00BE720C">
        <w:rPr>
          <w:rFonts w:ascii="Arial" w:eastAsia="Arial" w:hAnsi="Arial" w:cs="Arial"/>
          <w:sz w:val="22"/>
          <w:szCs w:val="22"/>
        </w:rPr>
        <w:t>Programą reikia atnaujinti, kad būtų atsižvelgta į pasikeitusį saugumo pobūdį, susijusį tiek su geopolitiniu kontekstu, tiek su disciplinos pobūdžiu.</w:t>
      </w:r>
    </w:p>
    <w:p w14:paraId="0BE7033C" w14:textId="796538E4" w:rsidR="00B278D5" w:rsidRPr="00BE720C" w:rsidRDefault="00B278D5" w:rsidP="00BE720C">
      <w:pPr>
        <w:numPr>
          <w:ilvl w:val="0"/>
          <w:numId w:val="25"/>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 xml:space="preserve">Programos </w:t>
      </w:r>
      <w:r w:rsidR="00BE720C">
        <w:rPr>
          <w:rFonts w:ascii="Arial" w:eastAsia="Arial" w:hAnsi="Arial" w:cs="Arial"/>
          <w:sz w:val="22"/>
          <w:szCs w:val="22"/>
        </w:rPr>
        <w:t xml:space="preserve">studijų </w:t>
      </w:r>
      <w:r w:rsidRPr="00BE720C">
        <w:rPr>
          <w:rFonts w:ascii="Arial" w:eastAsia="Arial" w:hAnsi="Arial" w:cs="Arial"/>
          <w:sz w:val="22"/>
          <w:szCs w:val="22"/>
        </w:rPr>
        <w:t xml:space="preserve">rezultatai turi būti atnaujinti, kad būtų atsižvelgta į siūlomą atnaujinimą ir užtikrinta, kad jie labiau atitiktų fakulteto viziją. </w:t>
      </w:r>
    </w:p>
    <w:p w14:paraId="3873DA55" w14:textId="77777777" w:rsidR="00B278D5" w:rsidRPr="00BE720C" w:rsidRDefault="00B278D5" w:rsidP="00BE720C">
      <w:pPr>
        <w:numPr>
          <w:ilvl w:val="0"/>
          <w:numId w:val="25"/>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Užtikrinti, kad programoje ugdomos kompetencijos būtų pateikiamos mokiniams tokiu pat mastu, kaip ir žinių elementai.</w:t>
      </w:r>
    </w:p>
    <w:p w14:paraId="6B19D272" w14:textId="77777777" w:rsidR="00291AB7" w:rsidRPr="00BE720C" w:rsidRDefault="00291AB7" w:rsidP="00BE720C">
      <w:pPr>
        <w:tabs>
          <w:tab w:val="left" w:pos="1298"/>
          <w:tab w:val="left" w:pos="1985"/>
        </w:tabs>
        <w:spacing w:line="276" w:lineRule="auto"/>
        <w:jc w:val="both"/>
        <w:rPr>
          <w:rFonts w:ascii="Arial" w:eastAsia="Calibri" w:hAnsi="Arial" w:cs="Arial"/>
          <w:iCs/>
          <w:sz w:val="22"/>
          <w:szCs w:val="22"/>
          <w:lang w:eastAsia="lt-LT"/>
        </w:rPr>
      </w:pPr>
    </w:p>
    <w:p w14:paraId="3D804AFD" w14:textId="490E886C" w:rsidR="007E04D8" w:rsidRPr="00BE720C" w:rsidRDefault="002B65A0"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Tolesniam</w:t>
      </w:r>
      <w:r w:rsidR="007E04D8" w:rsidRPr="00BE720C">
        <w:rPr>
          <w:rFonts w:ascii="Arial" w:eastAsia="Calibri" w:hAnsi="Arial" w:cs="Arial"/>
          <w:iCs/>
          <w:color w:val="5B0009"/>
          <w:sz w:val="22"/>
          <w:szCs w:val="22"/>
          <w:lang w:eastAsia="lt-LT"/>
        </w:rPr>
        <w:t xml:space="preserve"> tobulėjimui</w:t>
      </w:r>
    </w:p>
    <w:p w14:paraId="3E61AD95"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bookmarkEnd w:id="1"/>
    <w:p w14:paraId="37512C6D" w14:textId="77777777" w:rsidR="00025180" w:rsidRPr="00BE720C" w:rsidRDefault="00025180" w:rsidP="00BE720C">
      <w:pPr>
        <w:numPr>
          <w:ilvl w:val="0"/>
          <w:numId w:val="26"/>
        </w:numPr>
        <w:pBdr>
          <w:top w:val="nil"/>
          <w:left w:val="nil"/>
          <w:bottom w:val="nil"/>
          <w:right w:val="nil"/>
          <w:between w:val="nil"/>
        </w:pBdr>
        <w:spacing w:line="276" w:lineRule="auto"/>
        <w:jc w:val="both"/>
        <w:rPr>
          <w:rFonts w:ascii="Arial" w:eastAsia="Arial" w:hAnsi="Arial" w:cs="Arial"/>
          <w:color w:val="000000"/>
          <w:sz w:val="22"/>
          <w:szCs w:val="22"/>
        </w:rPr>
      </w:pPr>
      <w:r w:rsidRPr="00BE720C">
        <w:rPr>
          <w:rFonts w:ascii="Arial" w:eastAsia="Arial" w:hAnsi="Arial" w:cs="Arial"/>
          <w:sz w:val="22"/>
          <w:szCs w:val="22"/>
        </w:rPr>
        <w:t xml:space="preserve">Didesnis socialinių partnerių dalyvavimas programoje (tai padės užtikrinti programos aktualumą). </w:t>
      </w:r>
    </w:p>
    <w:p w14:paraId="40222871" w14:textId="77777777" w:rsidR="00025180" w:rsidRPr="00BE720C" w:rsidRDefault="00025180" w:rsidP="00BE720C">
      <w:pPr>
        <w:numPr>
          <w:ilvl w:val="0"/>
          <w:numId w:val="26"/>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Programoje galėtų būti daugiau naudojamasi mokinių darbo kontekstu (vėlgi siekiant užtikrinti aktualumą).</w:t>
      </w:r>
    </w:p>
    <w:p w14:paraId="79763E87" w14:textId="77777777" w:rsidR="00025180" w:rsidRPr="00BE720C" w:rsidRDefault="00025180" w:rsidP="00BE720C">
      <w:pPr>
        <w:numPr>
          <w:ilvl w:val="0"/>
          <w:numId w:val="26"/>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 xml:space="preserve">Užtikrinti, kad mokymo metodai (ypač internetinės programos dalies) leistų studentams aktyviai dalyvauti. </w:t>
      </w:r>
    </w:p>
    <w:p w14:paraId="4849CC2F" w14:textId="3742160B" w:rsidR="00025180" w:rsidRPr="00BE720C" w:rsidRDefault="00025180" w:rsidP="00BE720C">
      <w:pPr>
        <w:numPr>
          <w:ilvl w:val="0"/>
          <w:numId w:val="26"/>
        </w:numPr>
        <w:pBdr>
          <w:top w:val="nil"/>
          <w:left w:val="nil"/>
          <w:bottom w:val="nil"/>
          <w:right w:val="nil"/>
          <w:between w:val="nil"/>
        </w:pBdr>
        <w:spacing w:line="276" w:lineRule="auto"/>
        <w:jc w:val="both"/>
        <w:rPr>
          <w:rFonts w:ascii="Arial" w:eastAsia="Arial" w:hAnsi="Arial" w:cs="Arial"/>
          <w:sz w:val="22"/>
          <w:szCs w:val="22"/>
        </w:rPr>
      </w:pPr>
      <w:r w:rsidRPr="00BE720C">
        <w:rPr>
          <w:rFonts w:ascii="Arial" w:eastAsia="Arial" w:hAnsi="Arial" w:cs="Arial"/>
          <w:sz w:val="22"/>
          <w:szCs w:val="22"/>
        </w:rPr>
        <w:t xml:space="preserve">Išnagrinėti būdus, kaip padidinti studentų patirtį tarptautiniu mastu, atsižvelgiant į studentų bendruomenės pobūdį ir jų užimtumo situaciją. Sąsaja su E3 </w:t>
      </w:r>
      <w:r w:rsidR="00BE720C">
        <w:rPr>
          <w:rFonts w:ascii="Arial" w:eastAsia="Arial" w:hAnsi="Arial" w:cs="Arial"/>
          <w:sz w:val="22"/>
          <w:szCs w:val="22"/>
        </w:rPr>
        <w:t xml:space="preserve">studijų </w:t>
      </w:r>
      <w:r w:rsidRPr="00BE720C">
        <w:rPr>
          <w:rFonts w:ascii="Arial" w:eastAsia="Arial" w:hAnsi="Arial" w:cs="Arial"/>
          <w:sz w:val="22"/>
          <w:szCs w:val="22"/>
        </w:rPr>
        <w:t xml:space="preserve">rezultatu yra silpna. </w:t>
      </w:r>
    </w:p>
    <w:p w14:paraId="4C9A655C" w14:textId="77777777" w:rsidR="00291AB7" w:rsidRPr="002D0027" w:rsidRDefault="00291AB7" w:rsidP="00CF1D8A">
      <w:pPr>
        <w:spacing w:after="200" w:line="276" w:lineRule="auto"/>
        <w:rPr>
          <w:rFonts w:ascii="Arial" w:eastAsia="Calibri" w:hAnsi="Arial" w:cs="Arial"/>
          <w:sz w:val="22"/>
          <w:szCs w:val="22"/>
          <w:lang w:eastAsia="lt-LT"/>
        </w:rPr>
      </w:pPr>
      <w:r w:rsidRPr="002D0027">
        <w:rPr>
          <w:rFonts w:ascii="Arial" w:eastAsia="Calibri" w:hAnsi="Arial" w:cs="Arial"/>
          <w:sz w:val="22"/>
          <w:szCs w:val="22"/>
          <w:lang w:eastAsia="lt-LT"/>
        </w:rPr>
        <w:br w:type="page"/>
      </w:r>
    </w:p>
    <w:p w14:paraId="0114CBE2" w14:textId="6930642B" w:rsidR="002B65A0" w:rsidRPr="000D455C" w:rsidRDefault="002B65A0" w:rsidP="002B65A0">
      <w:pPr>
        <w:pStyle w:val="Heading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4F230C2" w14:textId="77777777" w:rsidTr="00C3407E">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5A17AEC7" w14:textId="77777777" w:rsidTr="00C3407E">
        <w:tc>
          <w:tcPr>
            <w:tcW w:w="1720" w:type="dxa"/>
            <w:vAlign w:val="center"/>
          </w:tcPr>
          <w:p w14:paraId="520F5F6B" w14:textId="1540F5A1"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32CC724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6849B30F" w14:textId="67D58757" w:rsidR="007E04D8" w:rsidRPr="002D0027" w:rsidRDefault="00C3407E"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6E6744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AB80A3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16CE84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2D0027" w:rsidRDefault="007E04D8" w:rsidP="00CF1D8A">
      <w:pPr>
        <w:spacing w:line="276" w:lineRule="auto"/>
        <w:rPr>
          <w:rFonts w:ascii="Arial" w:hAnsi="Arial" w:cs="Arial"/>
          <w:b/>
          <w:bCs/>
          <w:color w:val="136C73"/>
          <w:sz w:val="22"/>
          <w:szCs w:val="22"/>
          <w:lang w:eastAsia="lt-LT"/>
        </w:rPr>
      </w:pPr>
    </w:p>
    <w:p w14:paraId="09499C6D" w14:textId="77777777" w:rsidR="004B1A1A" w:rsidRPr="00BE720C" w:rsidRDefault="004B1A1A" w:rsidP="00BE720C">
      <w:pPr>
        <w:numPr>
          <w:ilvl w:val="0"/>
          <w:numId w:val="27"/>
        </w:numPr>
        <w:spacing w:line="276" w:lineRule="auto"/>
        <w:jc w:val="both"/>
        <w:rPr>
          <w:rFonts w:ascii="Arial" w:eastAsia="Arial" w:hAnsi="Arial" w:cs="Arial"/>
          <w:sz w:val="22"/>
          <w:szCs w:val="22"/>
        </w:rPr>
      </w:pPr>
      <w:r w:rsidRPr="00BE720C">
        <w:rPr>
          <w:rFonts w:ascii="Arial" w:eastAsia="Arial" w:hAnsi="Arial" w:cs="Arial"/>
          <w:sz w:val="22"/>
          <w:szCs w:val="22"/>
        </w:rPr>
        <w:t>Didelis dėmesys skiriamas studentų akademiniam tobulėjimui remti dalyvaujant konferencijose.</w:t>
      </w:r>
    </w:p>
    <w:p w14:paraId="6A2A05F4" w14:textId="647D16DC" w:rsidR="007E04D8" w:rsidRPr="00BE720C" w:rsidRDefault="004B1A1A" w:rsidP="00BE720C">
      <w:pPr>
        <w:numPr>
          <w:ilvl w:val="0"/>
          <w:numId w:val="27"/>
        </w:numPr>
        <w:spacing w:after="240" w:line="276" w:lineRule="auto"/>
        <w:jc w:val="both"/>
        <w:rPr>
          <w:rFonts w:ascii="Arial" w:eastAsia="Arial" w:hAnsi="Arial" w:cs="Arial"/>
          <w:sz w:val="22"/>
          <w:szCs w:val="22"/>
        </w:rPr>
      </w:pPr>
      <w:r w:rsidRPr="00BE720C">
        <w:rPr>
          <w:rFonts w:ascii="Arial" w:eastAsia="Arial" w:hAnsi="Arial" w:cs="Arial"/>
          <w:sz w:val="22"/>
          <w:szCs w:val="22"/>
        </w:rPr>
        <w:t>Aktyvus vietinių objektų (miesto savivaldybės, Klaipėdos uosto) naudojimas mokymosi veikloms, gyvybiškai svarbūs ryšiai su absolventais.</w:t>
      </w:r>
    </w:p>
    <w:p w14:paraId="69335C25" w14:textId="77777777" w:rsidR="007E04D8" w:rsidRPr="000D455C" w:rsidRDefault="007E04D8" w:rsidP="00CF1D8A">
      <w:pPr>
        <w:spacing w:line="276" w:lineRule="auto"/>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7262F6F7"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59A967C7" w14:textId="0C9C468C" w:rsidR="007E04D8" w:rsidRPr="00BE720C" w:rsidRDefault="007E04D8"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Trūkumams šalinti</w:t>
      </w:r>
    </w:p>
    <w:p w14:paraId="52FF157C"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2EA637E2" w14:textId="77777777" w:rsidR="00C7558E" w:rsidRPr="00BE720C" w:rsidRDefault="00C7558E" w:rsidP="00BE720C">
      <w:pPr>
        <w:numPr>
          <w:ilvl w:val="0"/>
          <w:numId w:val="28"/>
        </w:numPr>
        <w:spacing w:line="276" w:lineRule="auto"/>
        <w:jc w:val="both"/>
        <w:rPr>
          <w:rFonts w:ascii="Arial" w:eastAsia="Arial" w:hAnsi="Arial" w:cs="Arial"/>
          <w:sz w:val="22"/>
          <w:szCs w:val="22"/>
        </w:rPr>
      </w:pPr>
      <w:r w:rsidRPr="00BE720C">
        <w:rPr>
          <w:rFonts w:ascii="Arial" w:eastAsia="Arial" w:hAnsi="Arial" w:cs="Arial"/>
          <w:sz w:val="22"/>
          <w:szCs w:val="22"/>
        </w:rPr>
        <w:t>Aiškiau apibrėžti, ką Programai ir Departamentui reiškia "nacionalinio saugumo" sąvoka ir kaip akademinio personalo moksliniai tyrimai susiję su šia sąvoka ir įvairiais nacionalinio saugumo aspektais itin susietame ir vis labiau geopolitizuotame pasaulyje ir (Baltijos jūros) regione.</w:t>
      </w:r>
    </w:p>
    <w:p w14:paraId="39BAAE85" w14:textId="77777777" w:rsidR="00C7558E" w:rsidRPr="00BE720C" w:rsidRDefault="00C7558E" w:rsidP="00BE720C">
      <w:pPr>
        <w:numPr>
          <w:ilvl w:val="0"/>
          <w:numId w:val="28"/>
        </w:numPr>
        <w:spacing w:line="276" w:lineRule="auto"/>
        <w:jc w:val="both"/>
        <w:rPr>
          <w:rFonts w:ascii="Arial" w:eastAsia="Arial" w:hAnsi="Arial" w:cs="Arial"/>
          <w:sz w:val="22"/>
          <w:szCs w:val="22"/>
        </w:rPr>
      </w:pPr>
      <w:r w:rsidRPr="00BE720C">
        <w:rPr>
          <w:rFonts w:ascii="Arial" w:eastAsia="Arial" w:hAnsi="Arial" w:cs="Arial"/>
          <w:sz w:val="22"/>
          <w:szCs w:val="22"/>
        </w:rPr>
        <w:t>Didinti tarptautinių mokslinių tyrimų (publikacijų ir projektų) apimtis ir lygį.</w:t>
      </w:r>
    </w:p>
    <w:p w14:paraId="1FB25ACE" w14:textId="17FA4AA6" w:rsidR="007E04D8" w:rsidRPr="00BE720C" w:rsidRDefault="00C7558E" w:rsidP="00BE720C">
      <w:pPr>
        <w:numPr>
          <w:ilvl w:val="0"/>
          <w:numId w:val="28"/>
        </w:numPr>
        <w:spacing w:after="240" w:line="276" w:lineRule="auto"/>
        <w:jc w:val="both"/>
        <w:rPr>
          <w:rFonts w:ascii="Arial" w:eastAsia="Arial" w:hAnsi="Arial" w:cs="Arial"/>
          <w:sz w:val="22"/>
          <w:szCs w:val="22"/>
        </w:rPr>
      </w:pPr>
      <w:r w:rsidRPr="00BE720C">
        <w:rPr>
          <w:rFonts w:ascii="Arial" w:eastAsia="Arial" w:hAnsi="Arial" w:cs="Arial"/>
          <w:sz w:val="22"/>
          <w:szCs w:val="22"/>
        </w:rPr>
        <w:t>Užtikrinti, kad studentų dalyvavimas taikomuosiuose projektuose atitiktų nacionalinio saugumo studijas ir prisidėtų prie programos rezultatų.</w:t>
      </w:r>
    </w:p>
    <w:p w14:paraId="18525D57" w14:textId="09696CBE" w:rsidR="007E04D8" w:rsidRPr="00BE720C" w:rsidRDefault="00DE3287"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Tolesniam</w:t>
      </w:r>
      <w:r w:rsidR="007E04D8" w:rsidRPr="00BE720C">
        <w:rPr>
          <w:rFonts w:ascii="Arial" w:eastAsia="Calibri" w:hAnsi="Arial" w:cs="Arial"/>
          <w:iCs/>
          <w:color w:val="5B0009"/>
          <w:sz w:val="22"/>
          <w:szCs w:val="22"/>
          <w:lang w:eastAsia="lt-LT"/>
        </w:rPr>
        <w:t xml:space="preserve"> tobulėjimui</w:t>
      </w:r>
    </w:p>
    <w:p w14:paraId="2AD3978B"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30CBF48A" w14:textId="77777777" w:rsidR="005B1562" w:rsidRPr="00BE720C" w:rsidRDefault="005B1562" w:rsidP="00BE720C">
      <w:pPr>
        <w:numPr>
          <w:ilvl w:val="0"/>
          <w:numId w:val="29"/>
        </w:numPr>
        <w:spacing w:line="276" w:lineRule="auto"/>
        <w:jc w:val="both"/>
        <w:rPr>
          <w:rFonts w:ascii="Arial" w:eastAsia="Arial" w:hAnsi="Arial" w:cs="Arial"/>
          <w:sz w:val="22"/>
          <w:szCs w:val="22"/>
        </w:rPr>
      </w:pPr>
      <w:r w:rsidRPr="00BE720C">
        <w:rPr>
          <w:rFonts w:ascii="Arial" w:eastAsia="Arial" w:hAnsi="Arial" w:cs="Arial"/>
          <w:sz w:val="22"/>
          <w:szCs w:val="22"/>
        </w:rPr>
        <w:t>Sistemingai dirbti plėtojant bendradarbiavimą mokslinių tyrimų srityje su neakademiniais partneriais artimame (Vakarų Lietuvos) regione ir su akademiniais partneriais Lietuvoje, Baltijos jūros regione ir kituose Europos pajūrio regionuose (įskaitant naudojimąsi ES-CONEXUS tinklu).</w:t>
      </w:r>
    </w:p>
    <w:p w14:paraId="3CEF4AA6" w14:textId="4070E29F" w:rsidR="00291AB7" w:rsidRPr="00BE720C" w:rsidRDefault="005B1562" w:rsidP="00BE720C">
      <w:pPr>
        <w:numPr>
          <w:ilvl w:val="0"/>
          <w:numId w:val="29"/>
        </w:numPr>
        <w:spacing w:after="240" w:line="276" w:lineRule="auto"/>
        <w:jc w:val="both"/>
        <w:rPr>
          <w:rFonts w:ascii="Arial" w:eastAsia="Arial" w:hAnsi="Arial" w:cs="Arial"/>
          <w:sz w:val="22"/>
          <w:szCs w:val="22"/>
        </w:rPr>
      </w:pPr>
      <w:r w:rsidRPr="00BE720C">
        <w:rPr>
          <w:rFonts w:ascii="Arial" w:eastAsia="Arial" w:hAnsi="Arial" w:cs="Arial"/>
          <w:sz w:val="22"/>
          <w:szCs w:val="22"/>
        </w:rPr>
        <w:t>Veiksmingai įgyvendinti esamą reglamentą dėl darbuotojų mokslinių interesų ir dėstymo atitikimo įvertinimo ir atitinkamai vadovauti jų veiklai, susijusiai su lėšų pritraukimu.</w:t>
      </w:r>
      <w:r w:rsidR="00291AB7" w:rsidRPr="00BE720C">
        <w:rPr>
          <w:rFonts w:ascii="Arial" w:eastAsia="Calibri" w:hAnsi="Arial" w:cs="Arial"/>
          <w:sz w:val="22"/>
          <w:szCs w:val="22"/>
          <w:lang w:val="en-GB" w:eastAsia="lt-LT"/>
        </w:rPr>
        <w:br w:type="page"/>
      </w:r>
    </w:p>
    <w:p w14:paraId="007FAC21" w14:textId="7D53F19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92C0328" w14:textId="77777777" w:rsidTr="00747FF5">
        <w:tc>
          <w:tcPr>
            <w:tcW w:w="1720"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90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72B3F6EB" w14:textId="77777777" w:rsidTr="00747FF5">
        <w:tc>
          <w:tcPr>
            <w:tcW w:w="1720" w:type="dxa"/>
            <w:vAlign w:val="center"/>
          </w:tcPr>
          <w:p w14:paraId="3F066932" w14:textId="781BD449"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D70D9AE" w14:textId="7E0C2FE9" w:rsidR="007E04D8" w:rsidRPr="002D0027" w:rsidRDefault="00747FF5"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2D5BB81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09F45B19" w14:textId="7589C135" w:rsidR="000E2B19" w:rsidRPr="00BE720C" w:rsidRDefault="000E2B19" w:rsidP="00BE720C">
      <w:pPr>
        <w:numPr>
          <w:ilvl w:val="0"/>
          <w:numId w:val="30"/>
        </w:numPr>
        <w:spacing w:line="276" w:lineRule="auto"/>
        <w:jc w:val="both"/>
        <w:rPr>
          <w:rFonts w:ascii="Arial" w:eastAsia="Arial" w:hAnsi="Arial" w:cs="Arial"/>
          <w:sz w:val="22"/>
          <w:szCs w:val="22"/>
        </w:rPr>
      </w:pPr>
      <w:r w:rsidRPr="00BE720C">
        <w:rPr>
          <w:rFonts w:ascii="Arial" w:eastAsia="Arial" w:hAnsi="Arial" w:cs="Arial"/>
          <w:sz w:val="22"/>
          <w:szCs w:val="22"/>
        </w:rPr>
        <w:t xml:space="preserve">Gerai išplėtota ir kokybiška parama </w:t>
      </w:r>
      <w:r w:rsidR="00BE720C">
        <w:rPr>
          <w:rFonts w:ascii="Arial" w:eastAsia="Arial" w:hAnsi="Arial" w:cs="Arial"/>
          <w:sz w:val="22"/>
          <w:szCs w:val="22"/>
        </w:rPr>
        <w:t xml:space="preserve">studentams </w:t>
      </w:r>
      <w:r w:rsidRPr="00BE720C">
        <w:rPr>
          <w:rFonts w:ascii="Arial" w:eastAsia="Arial" w:hAnsi="Arial" w:cs="Arial"/>
          <w:sz w:val="22"/>
          <w:szCs w:val="22"/>
        </w:rPr>
        <w:t>akademiniais ar socialiniais klausimais.</w:t>
      </w:r>
    </w:p>
    <w:p w14:paraId="7E5779C3" w14:textId="77777777" w:rsidR="000E2B19" w:rsidRPr="00BE720C" w:rsidRDefault="000E2B19" w:rsidP="00BE720C">
      <w:pPr>
        <w:numPr>
          <w:ilvl w:val="0"/>
          <w:numId w:val="30"/>
        </w:numPr>
        <w:spacing w:line="276" w:lineRule="auto"/>
        <w:jc w:val="both"/>
        <w:rPr>
          <w:rFonts w:ascii="Arial" w:eastAsia="Arial" w:hAnsi="Arial" w:cs="Arial"/>
          <w:sz w:val="22"/>
          <w:szCs w:val="22"/>
        </w:rPr>
      </w:pPr>
      <w:r w:rsidRPr="00BE720C">
        <w:rPr>
          <w:rFonts w:ascii="Arial" w:eastAsia="Arial" w:hAnsi="Arial" w:cs="Arial"/>
          <w:sz w:val="22"/>
          <w:szCs w:val="22"/>
        </w:rPr>
        <w:t>Didelis studentų pasitenkinimas dėstytojais, dėstytojais, jų parama ir siūlomomis galimybėmis.</w:t>
      </w:r>
    </w:p>
    <w:p w14:paraId="5616C1D2" w14:textId="77777777" w:rsidR="007E04D8" w:rsidRPr="002D0027" w:rsidRDefault="007E04D8" w:rsidP="00CF1D8A">
      <w:pPr>
        <w:spacing w:line="276" w:lineRule="auto"/>
        <w:rPr>
          <w:rFonts w:ascii="Arial" w:hAnsi="Arial" w:cs="Arial"/>
          <w:b/>
          <w:bCs/>
          <w:color w:val="136C73"/>
          <w:sz w:val="22"/>
          <w:szCs w:val="22"/>
          <w:lang w:eastAsia="lt-LT"/>
        </w:rPr>
      </w:pPr>
    </w:p>
    <w:p w14:paraId="421682E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74A8F484"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B95DEC" w14:textId="1CA6BB32" w:rsidR="007E04D8" w:rsidRPr="00BE720C" w:rsidRDefault="007E04D8"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Trūkumams šalinti</w:t>
      </w:r>
    </w:p>
    <w:p w14:paraId="3254E4DA"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1C02100D" w14:textId="77777777" w:rsidR="003324E4" w:rsidRPr="00BE720C" w:rsidRDefault="003324E4" w:rsidP="00BE720C">
      <w:pPr>
        <w:numPr>
          <w:ilvl w:val="0"/>
          <w:numId w:val="31"/>
        </w:numPr>
        <w:spacing w:line="276" w:lineRule="auto"/>
        <w:jc w:val="both"/>
        <w:rPr>
          <w:rFonts w:ascii="Arial" w:eastAsia="Arial" w:hAnsi="Arial" w:cs="Arial"/>
          <w:sz w:val="22"/>
          <w:szCs w:val="22"/>
        </w:rPr>
      </w:pPr>
      <w:r w:rsidRPr="00BE720C">
        <w:rPr>
          <w:rFonts w:ascii="Arial" w:eastAsia="Arial" w:hAnsi="Arial" w:cs="Arial"/>
          <w:sz w:val="22"/>
          <w:szCs w:val="22"/>
        </w:rPr>
        <w:t>Padidinti studentų skaičių, bendradarbiaujant su socialiniais partneriais ir absolventais.</w:t>
      </w:r>
    </w:p>
    <w:p w14:paraId="162E8ACE" w14:textId="77777777" w:rsidR="003324E4" w:rsidRPr="00BE720C" w:rsidRDefault="003324E4" w:rsidP="00BE720C">
      <w:pPr>
        <w:numPr>
          <w:ilvl w:val="0"/>
          <w:numId w:val="31"/>
        </w:numPr>
        <w:spacing w:line="276" w:lineRule="auto"/>
        <w:jc w:val="both"/>
        <w:rPr>
          <w:rFonts w:ascii="Arial" w:eastAsia="Arial" w:hAnsi="Arial" w:cs="Arial"/>
          <w:sz w:val="22"/>
          <w:szCs w:val="22"/>
        </w:rPr>
      </w:pPr>
      <w:r w:rsidRPr="00BE720C">
        <w:rPr>
          <w:rFonts w:ascii="Arial" w:eastAsia="Arial" w:hAnsi="Arial" w:cs="Arial"/>
          <w:sz w:val="22"/>
          <w:szCs w:val="22"/>
        </w:rPr>
        <w:t>Išnagrinėti naujas programos populiarinimo strategijas, labiau pabrėžiant jos reikšmę regionui, taip pat labiau įtraukti socialinius partnerius ir absolventus.</w:t>
      </w:r>
    </w:p>
    <w:p w14:paraId="53262B86"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7A60850C" w14:textId="21A1AC32" w:rsidR="007E04D8" w:rsidRPr="00BE720C" w:rsidRDefault="00DE3287"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Tolesniam</w:t>
      </w:r>
      <w:r w:rsidR="007E04D8" w:rsidRPr="00BE720C">
        <w:rPr>
          <w:rFonts w:ascii="Arial" w:eastAsia="Calibri" w:hAnsi="Arial" w:cs="Arial"/>
          <w:iCs/>
          <w:color w:val="5B0009"/>
          <w:sz w:val="22"/>
          <w:szCs w:val="22"/>
          <w:lang w:eastAsia="lt-LT"/>
        </w:rPr>
        <w:t xml:space="preserve"> tobulėjimui</w:t>
      </w:r>
    </w:p>
    <w:p w14:paraId="63DD279A"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36451DBB" w14:textId="46F9EE71" w:rsidR="007E04D8" w:rsidRPr="00BE720C" w:rsidRDefault="0034221C" w:rsidP="00BE720C">
      <w:pPr>
        <w:pStyle w:val="ListParagraph"/>
        <w:numPr>
          <w:ilvl w:val="0"/>
          <w:numId w:val="6"/>
        </w:numPr>
        <w:spacing w:line="276" w:lineRule="auto"/>
        <w:rPr>
          <w:rFonts w:ascii="Arial" w:hAnsi="Arial" w:cs="Arial"/>
          <w:sz w:val="22"/>
          <w:szCs w:val="22"/>
          <w:lang w:val="lt-LT" w:eastAsia="lt-LT"/>
        </w:rPr>
      </w:pPr>
      <w:r w:rsidRPr="00BE720C">
        <w:rPr>
          <w:rFonts w:ascii="Arial" w:eastAsia="Arial" w:hAnsi="Arial" w:cs="Arial"/>
          <w:sz w:val="22"/>
          <w:szCs w:val="22"/>
          <w:lang w:val="lt-LT"/>
        </w:rPr>
        <w:t>Aktyviai ieškoti BIP ar kitų mainų galimybių ir skatinti studentus jose dalyvauti.</w:t>
      </w:r>
    </w:p>
    <w:p w14:paraId="154989DB" w14:textId="77777777" w:rsidR="00291AB7" w:rsidRPr="00BE720C" w:rsidRDefault="00291AB7" w:rsidP="00BE720C">
      <w:pPr>
        <w:spacing w:after="200" w:line="276" w:lineRule="auto"/>
        <w:jc w:val="both"/>
        <w:rPr>
          <w:rFonts w:ascii="Arial" w:eastAsia="Calibri" w:hAnsi="Arial" w:cs="Arial"/>
          <w:sz w:val="22"/>
          <w:szCs w:val="22"/>
          <w:lang w:eastAsia="lt-LT"/>
        </w:rPr>
      </w:pPr>
      <w:r w:rsidRPr="00BE720C">
        <w:rPr>
          <w:rFonts w:ascii="Arial" w:eastAsia="Calibri" w:hAnsi="Arial" w:cs="Arial"/>
          <w:sz w:val="22"/>
          <w:szCs w:val="22"/>
          <w:lang w:eastAsia="lt-LT"/>
        </w:rPr>
        <w:br w:type="page"/>
      </w:r>
    </w:p>
    <w:p w14:paraId="1868B1B6" w14:textId="27301559"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B5500D">
        <w:tc>
          <w:tcPr>
            <w:tcW w:w="1720"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90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7450D9" w14:textId="77777777" w:rsidTr="00B5500D">
        <w:tc>
          <w:tcPr>
            <w:tcW w:w="1720" w:type="dxa"/>
            <w:vAlign w:val="center"/>
          </w:tcPr>
          <w:p w14:paraId="42B23E8D" w14:textId="5EABFA91"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394275E8" w14:textId="057CB453" w:rsidR="007E04D8" w:rsidRPr="002D0027" w:rsidRDefault="00B5500D"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45B225A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E5ACE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5C003C09" w14:textId="77777777" w:rsidR="00C07867" w:rsidRPr="00BE720C" w:rsidRDefault="00C07867" w:rsidP="00BE720C">
      <w:pPr>
        <w:numPr>
          <w:ilvl w:val="0"/>
          <w:numId w:val="32"/>
        </w:numPr>
        <w:spacing w:line="276" w:lineRule="auto"/>
        <w:jc w:val="both"/>
        <w:rPr>
          <w:rFonts w:ascii="Arial" w:eastAsia="Arial" w:hAnsi="Arial" w:cs="Arial"/>
          <w:sz w:val="22"/>
          <w:szCs w:val="22"/>
        </w:rPr>
      </w:pPr>
      <w:r w:rsidRPr="00BE720C">
        <w:rPr>
          <w:rFonts w:ascii="Arial" w:eastAsia="Arial" w:hAnsi="Arial" w:cs="Arial"/>
          <w:sz w:val="22"/>
          <w:szCs w:val="22"/>
        </w:rPr>
        <w:t>Pastebima teigiama specializacijos tendencija, pavyzdžiui, tokios iniciatyvos kaip "Mėlynojo augimo lyderių akademija". Atrodo, kad egzistuoja teigiami ryšiai su kariniu jūrų laivynu, kai kuriomis vyriausybinėmis institucijomis (pvz., Valstybės saugumo departamentu). Programa turi didelį tolesnės specializacijos potencialą, įskaitant ryšių su uostu kūrimą (pvz., sprendžiant kontrabandos ir migracijos problemas), tolesnį jūros mokslų plėtojimą ir gerų geografinių alternatyvų panašioms studijoms sostinės regione.</w:t>
      </w:r>
    </w:p>
    <w:p w14:paraId="100C0DA6" w14:textId="77777777" w:rsidR="00C07867" w:rsidRPr="00BE720C" w:rsidRDefault="00C07867" w:rsidP="00BE720C">
      <w:pPr>
        <w:numPr>
          <w:ilvl w:val="0"/>
          <w:numId w:val="32"/>
        </w:numPr>
        <w:spacing w:line="276" w:lineRule="auto"/>
        <w:jc w:val="both"/>
        <w:rPr>
          <w:rFonts w:ascii="Arial" w:eastAsia="Arial" w:hAnsi="Arial" w:cs="Arial"/>
          <w:sz w:val="22"/>
          <w:szCs w:val="22"/>
        </w:rPr>
      </w:pPr>
      <w:r w:rsidRPr="00BE720C">
        <w:rPr>
          <w:rFonts w:ascii="Arial" w:eastAsia="Arial" w:hAnsi="Arial" w:cs="Arial"/>
          <w:sz w:val="22"/>
          <w:szCs w:val="22"/>
        </w:rPr>
        <w:t xml:space="preserve">Atrodo, kad dabartiniai studentai, absolventai ir kai kurie programoje dalyvaujantys socialiniai partneriai teigiamai vertina programą. Šį potencialą galima išnaudoti daug geriau nei dabar. </w:t>
      </w:r>
    </w:p>
    <w:p w14:paraId="3CD96C2C" w14:textId="77777777" w:rsidR="007E04D8" w:rsidRPr="002D0027" w:rsidRDefault="007E04D8" w:rsidP="00CF1D8A">
      <w:pPr>
        <w:spacing w:line="276" w:lineRule="auto"/>
        <w:rPr>
          <w:rFonts w:ascii="Arial" w:hAnsi="Arial" w:cs="Arial"/>
          <w:b/>
          <w:bCs/>
          <w:color w:val="136C73"/>
          <w:sz w:val="22"/>
          <w:szCs w:val="22"/>
          <w:lang w:eastAsia="lt-LT"/>
        </w:rPr>
      </w:pPr>
    </w:p>
    <w:p w14:paraId="7C17BB15"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571126F"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4DDD0543" w14:textId="37A7B041" w:rsidR="007E04D8" w:rsidRPr="00BE720C" w:rsidRDefault="007E04D8" w:rsidP="00BE720C">
      <w:pPr>
        <w:tabs>
          <w:tab w:val="left" w:pos="1298"/>
          <w:tab w:val="left" w:pos="1985"/>
        </w:tabs>
        <w:spacing w:line="276" w:lineRule="auto"/>
        <w:jc w:val="both"/>
        <w:rPr>
          <w:rFonts w:ascii="Arial" w:eastAsia="Calibri" w:hAnsi="Arial" w:cs="Arial"/>
          <w:iCs/>
          <w:color w:val="5B0009"/>
          <w:sz w:val="22"/>
          <w:szCs w:val="22"/>
          <w:lang w:eastAsia="lt-LT"/>
        </w:rPr>
      </w:pPr>
      <w:r w:rsidRPr="00BE720C">
        <w:rPr>
          <w:rFonts w:ascii="Arial" w:eastAsia="Calibri" w:hAnsi="Arial" w:cs="Arial"/>
          <w:iCs/>
          <w:color w:val="5B0009"/>
          <w:sz w:val="22"/>
          <w:szCs w:val="22"/>
          <w:lang w:eastAsia="lt-LT"/>
        </w:rPr>
        <w:t>Trūkumams šalinti</w:t>
      </w:r>
    </w:p>
    <w:p w14:paraId="331FCC7C"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7C1F1BBE" w14:textId="76768F22" w:rsidR="00A35698" w:rsidRPr="00BE720C" w:rsidRDefault="00A35698" w:rsidP="00BE720C">
      <w:pPr>
        <w:numPr>
          <w:ilvl w:val="0"/>
          <w:numId w:val="33"/>
        </w:numPr>
        <w:spacing w:line="276" w:lineRule="auto"/>
        <w:jc w:val="both"/>
        <w:rPr>
          <w:rFonts w:ascii="Arial" w:eastAsia="Arial" w:hAnsi="Arial" w:cs="Arial"/>
          <w:sz w:val="22"/>
          <w:szCs w:val="22"/>
        </w:rPr>
      </w:pPr>
      <w:r w:rsidRPr="00BE720C">
        <w:rPr>
          <w:rFonts w:ascii="Arial" w:eastAsia="Arial" w:hAnsi="Arial" w:cs="Arial"/>
          <w:sz w:val="22"/>
          <w:szCs w:val="22"/>
        </w:rPr>
        <w:t xml:space="preserve">Vadovybė ir administracijos darbuotojai turėtų prisiimti didesnę atsakomybę už programą ir vadovauti pastangoms racionalizuoti jos tapatybę. Vadybos ir administracijos darbuotojai bei </w:t>
      </w:r>
      <w:r w:rsidR="00BE720C">
        <w:rPr>
          <w:rFonts w:ascii="Arial" w:eastAsia="Arial" w:hAnsi="Arial" w:cs="Arial"/>
          <w:sz w:val="22"/>
          <w:szCs w:val="22"/>
        </w:rPr>
        <w:t xml:space="preserve">dėstytojai </w:t>
      </w:r>
      <w:r w:rsidRPr="00BE720C">
        <w:rPr>
          <w:rFonts w:ascii="Arial" w:eastAsia="Arial" w:hAnsi="Arial" w:cs="Arial"/>
          <w:sz w:val="22"/>
          <w:szCs w:val="22"/>
        </w:rPr>
        <w:t xml:space="preserve">turi daugiau diegti naujoves, kad </w:t>
      </w:r>
      <w:r w:rsidR="00BE720C">
        <w:rPr>
          <w:rFonts w:ascii="Arial" w:eastAsia="Arial" w:hAnsi="Arial" w:cs="Arial"/>
          <w:sz w:val="22"/>
          <w:szCs w:val="22"/>
        </w:rPr>
        <w:t xml:space="preserve">studentams </w:t>
      </w:r>
      <w:r w:rsidRPr="00BE720C">
        <w:rPr>
          <w:rFonts w:ascii="Arial" w:eastAsia="Arial" w:hAnsi="Arial" w:cs="Arial"/>
          <w:sz w:val="22"/>
          <w:szCs w:val="22"/>
        </w:rPr>
        <w:t>suteiktų didesnę vertę, remdamiesi pirmiau išvardytomis regiono stiprybėmis. Pastangos šioje srityje gali apimti, pavyzdžiui, geresnę rinkodarą, specializaciją, socialinių partnerių ir absolventų įtraukimą, aktyvų darbą su vyriausybe. Remiantis absolventų nuomone, programoje reikia geriau atsižvelgti į pasaulinį kontekstą, nustatyti geresnę pusiausvyrą tarp klasikinių grėsmių ir šiuolaikinių klausimų, įtraukti strategijos ir politikos, įskaitant karinį požiūrį.</w:t>
      </w:r>
    </w:p>
    <w:p w14:paraId="50784FD5" w14:textId="77777777" w:rsidR="00A35698" w:rsidRPr="00BE720C" w:rsidRDefault="00A35698" w:rsidP="00BE720C">
      <w:pPr>
        <w:numPr>
          <w:ilvl w:val="0"/>
          <w:numId w:val="33"/>
        </w:numPr>
        <w:spacing w:line="276" w:lineRule="auto"/>
        <w:jc w:val="both"/>
        <w:rPr>
          <w:rFonts w:ascii="Arial" w:eastAsia="Arial" w:hAnsi="Arial" w:cs="Arial"/>
          <w:sz w:val="22"/>
          <w:szCs w:val="22"/>
        </w:rPr>
      </w:pPr>
      <w:r w:rsidRPr="00BE720C">
        <w:rPr>
          <w:rFonts w:ascii="Arial" w:eastAsia="Arial" w:hAnsi="Arial" w:cs="Arial"/>
          <w:sz w:val="22"/>
          <w:szCs w:val="22"/>
        </w:rPr>
        <w:t>Universitetas turi dar labiau pritaikyti Socialinių ir humanitarinių mokslų fakulteto pastatą studentams, turintiems individualių poreikių (t. y. patekimas į aukštesnius aukštus yra ribotas, nes nėra lifto; pirmojo aukšto tualetus reikia atnaujinti, kad jie būtų lengviau prieinami). Nors tikimasi, kad visi individualių poreikių turintys studentai paprašys pagalbos, ne visi jie gali tai padaryti. Labai svarbus aktyvus universiteto darbuotojų vaidmuo teikiant pagalbą, kad būtų patenkinti jų individualūs poreikiai.</w:t>
      </w:r>
    </w:p>
    <w:p w14:paraId="329B6DBB" w14:textId="77777777" w:rsidR="00A35698" w:rsidRPr="00BE720C" w:rsidRDefault="00A35698" w:rsidP="00BE720C">
      <w:pPr>
        <w:numPr>
          <w:ilvl w:val="0"/>
          <w:numId w:val="33"/>
        </w:numPr>
        <w:spacing w:line="276" w:lineRule="auto"/>
        <w:jc w:val="both"/>
        <w:rPr>
          <w:rFonts w:ascii="Arial" w:eastAsia="Arial" w:hAnsi="Arial" w:cs="Arial"/>
          <w:sz w:val="22"/>
          <w:szCs w:val="22"/>
        </w:rPr>
      </w:pPr>
      <w:r w:rsidRPr="00BE720C">
        <w:rPr>
          <w:rFonts w:ascii="Arial" w:eastAsia="Arial" w:hAnsi="Arial" w:cs="Arial"/>
          <w:sz w:val="22"/>
          <w:szCs w:val="22"/>
        </w:rPr>
        <w:t>Reikia daugiau verslumo įtraukiant socialinius partnerius į programų rengimą. Galima dažniau dalytis informacija apie studentų pasiekimus vietos žiniasklaidoje, geriau reklamuoti programą studentų konferencijoje ir kituose renginiuose, siekti aktyvesnio darbdavių ir absolventų grįžtamojo ryšio apklausomis ir kitomis priemonėmis (pvz., grupinėmis diskusijomis), kad būtų galima nustatyti sinergiją ir ja pasinaudoti.</w:t>
      </w:r>
    </w:p>
    <w:p w14:paraId="0FCD6020" w14:textId="77777777" w:rsidR="00A35698" w:rsidRPr="00BE720C" w:rsidRDefault="00A35698" w:rsidP="00BE720C">
      <w:pPr>
        <w:numPr>
          <w:ilvl w:val="0"/>
          <w:numId w:val="33"/>
        </w:numPr>
        <w:spacing w:line="276" w:lineRule="auto"/>
        <w:jc w:val="both"/>
        <w:rPr>
          <w:rFonts w:ascii="Arial" w:eastAsia="Arial" w:hAnsi="Arial" w:cs="Arial"/>
          <w:sz w:val="22"/>
          <w:szCs w:val="22"/>
        </w:rPr>
      </w:pPr>
      <w:r w:rsidRPr="00BE720C">
        <w:rPr>
          <w:rFonts w:ascii="Arial" w:eastAsia="Arial" w:hAnsi="Arial" w:cs="Arial"/>
          <w:sz w:val="22"/>
          <w:szCs w:val="22"/>
        </w:rPr>
        <w:t>Rekomenduojami nauji alternatyvūs programos absolventų užimtumo statistikos rinkimo būdai. Užuot bandę rinkti Užimtumo tarnybos duomenis, universitetai galėtų skambinti kiekvienam absolventui, griežtai laikydamiesi BDAR reikalavimų.</w:t>
      </w:r>
    </w:p>
    <w:p w14:paraId="54ED6026" w14:textId="77777777" w:rsidR="00A35698" w:rsidRPr="00BE720C" w:rsidRDefault="00A35698" w:rsidP="00BE720C">
      <w:pPr>
        <w:numPr>
          <w:ilvl w:val="0"/>
          <w:numId w:val="33"/>
        </w:numPr>
        <w:spacing w:line="276" w:lineRule="auto"/>
        <w:jc w:val="both"/>
        <w:rPr>
          <w:rFonts w:ascii="Arial" w:eastAsia="Arial" w:hAnsi="Arial" w:cs="Arial"/>
          <w:sz w:val="22"/>
          <w:szCs w:val="22"/>
        </w:rPr>
      </w:pPr>
      <w:r w:rsidRPr="00BE720C">
        <w:rPr>
          <w:rFonts w:ascii="Arial" w:eastAsia="Arial" w:hAnsi="Arial" w:cs="Arial"/>
          <w:sz w:val="22"/>
          <w:szCs w:val="22"/>
        </w:rPr>
        <w:t xml:space="preserve">Reikia išbandyti realiose praktinėse situacijose ir toliau tobulinti aukštojo mokslo prieinamumo, akademinio sąžiningumo, tolerancijos ir nediskriminavimo užtikrinimo, apeliacijų ir skundų teikimo ir nagrinėjimo procedūras ir politiką, o nustačius spragų - jas tobulinti.  </w:t>
      </w:r>
    </w:p>
    <w:p w14:paraId="19F72490" w14:textId="77777777" w:rsidR="007E04D8" w:rsidRPr="00BE720C" w:rsidRDefault="007E04D8" w:rsidP="00BE720C">
      <w:pPr>
        <w:tabs>
          <w:tab w:val="left" w:pos="1298"/>
          <w:tab w:val="left" w:pos="1985"/>
        </w:tabs>
        <w:spacing w:line="276" w:lineRule="auto"/>
        <w:jc w:val="both"/>
        <w:rPr>
          <w:rFonts w:ascii="Arial" w:eastAsia="Calibri" w:hAnsi="Arial" w:cs="Arial"/>
          <w:iCs/>
          <w:sz w:val="22"/>
          <w:szCs w:val="22"/>
          <w:lang w:eastAsia="lt-LT"/>
        </w:rPr>
      </w:pPr>
    </w:p>
    <w:p w14:paraId="6D913B94" w14:textId="77777777" w:rsidR="00291AB7" w:rsidRPr="00BE720C" w:rsidRDefault="00291AB7" w:rsidP="00BE720C">
      <w:pPr>
        <w:spacing w:after="200" w:line="276" w:lineRule="auto"/>
        <w:jc w:val="both"/>
        <w:rPr>
          <w:rFonts w:ascii="Arial" w:eastAsia="Calibri" w:hAnsi="Arial" w:cs="Arial"/>
          <w:sz w:val="22"/>
          <w:szCs w:val="22"/>
          <w:lang w:val="en-GB" w:eastAsia="lt-LT"/>
        </w:rPr>
      </w:pPr>
      <w:r w:rsidRPr="00BE720C">
        <w:rPr>
          <w:rFonts w:ascii="Arial" w:eastAsia="Calibri" w:hAnsi="Arial" w:cs="Arial"/>
          <w:sz w:val="22"/>
          <w:szCs w:val="22"/>
          <w:lang w:val="en-GB" w:eastAsia="lt-LT"/>
        </w:rPr>
        <w:br w:type="page"/>
      </w:r>
    </w:p>
    <w:p w14:paraId="7AAFAF60" w14:textId="14D7122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C5A9661" w14:textId="77777777" w:rsidTr="00C92A67">
        <w:tc>
          <w:tcPr>
            <w:tcW w:w="1720"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90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AA46D58" w14:textId="77777777" w:rsidTr="00C92A67">
        <w:tc>
          <w:tcPr>
            <w:tcW w:w="1720" w:type="dxa"/>
            <w:vAlign w:val="center"/>
          </w:tcPr>
          <w:p w14:paraId="3A691457" w14:textId="06B864DF"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27A73026" w14:textId="0689723A" w:rsidR="007E04D8" w:rsidRPr="002D0027" w:rsidRDefault="00C92A67"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520" w:type="dxa"/>
            <w:vAlign w:val="center"/>
          </w:tcPr>
          <w:p w14:paraId="53EEE3D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EA6A3B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F91FA3D" w14:textId="77777777" w:rsidR="007E04D8" w:rsidRPr="002D0027" w:rsidRDefault="007E04D8" w:rsidP="00CF1D8A">
      <w:pPr>
        <w:spacing w:line="276" w:lineRule="auto"/>
        <w:rPr>
          <w:rFonts w:ascii="Arial" w:hAnsi="Arial" w:cs="Arial"/>
          <w:b/>
          <w:bCs/>
          <w:color w:val="136C73"/>
          <w:sz w:val="22"/>
          <w:szCs w:val="22"/>
          <w:lang w:eastAsia="lt-LT"/>
        </w:rPr>
      </w:pPr>
    </w:p>
    <w:p w14:paraId="261B0782" w14:textId="77777777" w:rsidR="003679BE" w:rsidRPr="00CA3EA4" w:rsidRDefault="003679BE" w:rsidP="00CA3EA4">
      <w:pPr>
        <w:numPr>
          <w:ilvl w:val="0"/>
          <w:numId w:val="34"/>
        </w:numPr>
        <w:spacing w:line="276" w:lineRule="auto"/>
        <w:jc w:val="both"/>
        <w:rPr>
          <w:rFonts w:ascii="Arial" w:eastAsia="Arial" w:hAnsi="Arial" w:cs="Arial"/>
          <w:sz w:val="22"/>
          <w:szCs w:val="22"/>
        </w:rPr>
      </w:pPr>
      <w:r w:rsidRPr="00CA3EA4">
        <w:rPr>
          <w:rFonts w:ascii="Arial" w:eastAsia="Arial" w:hAnsi="Arial" w:cs="Arial"/>
          <w:sz w:val="22"/>
          <w:szCs w:val="22"/>
        </w:rPr>
        <w:t>Per pastaruosius kelerius metus dalyvavimas profesiniame tobulėjime didėjo.</w:t>
      </w:r>
    </w:p>
    <w:p w14:paraId="75FBD7D2" w14:textId="77777777" w:rsidR="003679BE" w:rsidRPr="00CA3EA4" w:rsidRDefault="003679BE" w:rsidP="00CA3EA4">
      <w:pPr>
        <w:numPr>
          <w:ilvl w:val="0"/>
          <w:numId w:val="34"/>
        </w:numPr>
        <w:spacing w:after="240" w:line="276" w:lineRule="auto"/>
        <w:jc w:val="both"/>
        <w:rPr>
          <w:rFonts w:ascii="Arial" w:eastAsia="Arial" w:hAnsi="Arial" w:cs="Arial"/>
          <w:sz w:val="22"/>
          <w:szCs w:val="22"/>
        </w:rPr>
      </w:pPr>
      <w:r w:rsidRPr="00CA3EA4">
        <w:rPr>
          <w:rFonts w:ascii="Arial" w:eastAsia="Arial" w:hAnsi="Arial" w:cs="Arial"/>
          <w:sz w:val="22"/>
          <w:szCs w:val="22"/>
        </w:rPr>
        <w:t>Nacionalinio saugumo programos dėstytojai gauna aukštus studentų ir socialinių partnerių pasitenkinimo balus.</w:t>
      </w:r>
    </w:p>
    <w:p w14:paraId="4D082D23" w14:textId="77777777" w:rsidR="007E04D8" w:rsidRPr="002D0027" w:rsidRDefault="007E04D8" w:rsidP="00CF1D8A">
      <w:pPr>
        <w:spacing w:line="276" w:lineRule="auto"/>
        <w:rPr>
          <w:rFonts w:ascii="Arial" w:hAnsi="Arial" w:cs="Arial"/>
          <w:b/>
          <w:bCs/>
          <w:color w:val="136C73"/>
          <w:sz w:val="22"/>
          <w:szCs w:val="22"/>
          <w:lang w:eastAsia="lt-LT"/>
        </w:rPr>
      </w:pPr>
    </w:p>
    <w:p w14:paraId="4DB8706E"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37BE0833"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104D5702" w14:textId="716E7F5E" w:rsidR="007E04D8" w:rsidRPr="00CA3EA4" w:rsidRDefault="007E04D8"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Trūkumams šalinti</w:t>
      </w:r>
    </w:p>
    <w:p w14:paraId="020FB056"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22F9875E" w14:textId="1A7D0040" w:rsidR="006D7941" w:rsidRPr="00CA3EA4" w:rsidRDefault="006D7941" w:rsidP="00CA3EA4">
      <w:pPr>
        <w:numPr>
          <w:ilvl w:val="0"/>
          <w:numId w:val="36"/>
        </w:numPr>
        <w:tabs>
          <w:tab w:val="left" w:pos="1298"/>
          <w:tab w:val="left" w:pos="1985"/>
        </w:tabs>
        <w:spacing w:line="276" w:lineRule="auto"/>
        <w:jc w:val="both"/>
        <w:rPr>
          <w:rFonts w:ascii="Arial" w:eastAsia="Arial" w:hAnsi="Arial" w:cs="Arial"/>
          <w:sz w:val="22"/>
          <w:szCs w:val="22"/>
        </w:rPr>
      </w:pPr>
      <w:r w:rsidRPr="00CA3EA4">
        <w:rPr>
          <w:rFonts w:ascii="Arial" w:eastAsia="Arial" w:hAnsi="Arial" w:cs="Arial"/>
          <w:sz w:val="22"/>
          <w:szCs w:val="22"/>
        </w:rPr>
        <w:t>Išnagrinėti regioninio universiteto stipriąsias puses ir Lietuvos ryšį su Baltijos jūra tiek</w:t>
      </w:r>
      <w:r w:rsidR="00CA3EA4">
        <w:rPr>
          <w:rFonts w:ascii="Arial" w:eastAsia="Arial" w:hAnsi="Arial" w:cs="Arial"/>
          <w:sz w:val="22"/>
          <w:szCs w:val="22"/>
        </w:rPr>
        <w:t xml:space="preserve"> studijų</w:t>
      </w:r>
      <w:r w:rsidRPr="00CA3EA4">
        <w:rPr>
          <w:rFonts w:ascii="Arial" w:eastAsia="Arial" w:hAnsi="Arial" w:cs="Arial"/>
          <w:sz w:val="22"/>
          <w:szCs w:val="22"/>
        </w:rPr>
        <w:t>, tiek mokslinių tyrimų, susijusių su Nacionalinio saugumo programa, požiūriu.</w:t>
      </w:r>
    </w:p>
    <w:p w14:paraId="59CAF165" w14:textId="77777777" w:rsidR="006D7941" w:rsidRPr="00CA3EA4" w:rsidRDefault="006D7941" w:rsidP="00CA3EA4">
      <w:pPr>
        <w:numPr>
          <w:ilvl w:val="0"/>
          <w:numId w:val="35"/>
        </w:numPr>
        <w:spacing w:line="276" w:lineRule="auto"/>
        <w:jc w:val="both"/>
        <w:rPr>
          <w:rFonts w:ascii="Arial" w:eastAsia="Arial" w:hAnsi="Arial" w:cs="Arial"/>
          <w:sz w:val="22"/>
          <w:szCs w:val="22"/>
        </w:rPr>
      </w:pPr>
      <w:r w:rsidRPr="00CA3EA4">
        <w:rPr>
          <w:rFonts w:ascii="Arial" w:eastAsia="Arial" w:hAnsi="Arial" w:cs="Arial"/>
          <w:sz w:val="22"/>
          <w:szCs w:val="22"/>
        </w:rPr>
        <w:t>Stengtis įdarbinti išorinius darbuotojus (bent jau ne iš regiono), kad būtų galima internacionalizuoti (jei įmanoma) ir išplėsti darbuotojų mokslinių tyrimų bazę bei pasirengti kartų kaitai.</w:t>
      </w:r>
    </w:p>
    <w:p w14:paraId="0FA853CD" w14:textId="024FA8CE" w:rsidR="007E04D8" w:rsidRPr="00CA3EA4" w:rsidRDefault="006D7941" w:rsidP="00CA3EA4">
      <w:pPr>
        <w:numPr>
          <w:ilvl w:val="0"/>
          <w:numId w:val="35"/>
        </w:numPr>
        <w:spacing w:after="240" w:line="276" w:lineRule="auto"/>
        <w:jc w:val="both"/>
        <w:rPr>
          <w:rFonts w:ascii="Arial" w:eastAsia="Arial" w:hAnsi="Arial" w:cs="Arial"/>
          <w:sz w:val="22"/>
          <w:szCs w:val="22"/>
        </w:rPr>
      </w:pPr>
      <w:r w:rsidRPr="00CA3EA4">
        <w:rPr>
          <w:rFonts w:ascii="Arial" w:eastAsia="Arial" w:hAnsi="Arial" w:cs="Arial"/>
          <w:sz w:val="22"/>
          <w:szCs w:val="22"/>
        </w:rPr>
        <w:t>Didinti Nacionalinio saugumo programos ir jos darbuotojų žinomumą tarptautiniu mastu (pvz., per rinkodarą ir pristatymą KU interneto svetainėje).</w:t>
      </w:r>
    </w:p>
    <w:p w14:paraId="47A3A681" w14:textId="473207D1" w:rsidR="007E04D8" w:rsidRPr="00CA3EA4" w:rsidRDefault="00DE3287"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Tolesniam</w:t>
      </w:r>
      <w:r w:rsidR="007E04D8" w:rsidRPr="00CA3EA4">
        <w:rPr>
          <w:rFonts w:ascii="Arial" w:eastAsia="Calibri" w:hAnsi="Arial" w:cs="Arial"/>
          <w:iCs/>
          <w:color w:val="5B0009"/>
          <w:sz w:val="22"/>
          <w:szCs w:val="22"/>
          <w:lang w:eastAsia="lt-LT"/>
        </w:rPr>
        <w:t xml:space="preserve"> tobulėjimui</w:t>
      </w:r>
    </w:p>
    <w:p w14:paraId="6C378431"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4F25249B" w14:textId="77777777" w:rsidR="0008568E" w:rsidRPr="00CA3EA4" w:rsidRDefault="0008568E" w:rsidP="00CA3EA4">
      <w:pPr>
        <w:numPr>
          <w:ilvl w:val="0"/>
          <w:numId w:val="37"/>
        </w:numPr>
        <w:spacing w:line="276" w:lineRule="auto"/>
        <w:jc w:val="both"/>
        <w:rPr>
          <w:rFonts w:ascii="Arial" w:eastAsia="Arial" w:hAnsi="Arial" w:cs="Arial"/>
          <w:sz w:val="22"/>
          <w:szCs w:val="22"/>
        </w:rPr>
      </w:pPr>
      <w:r w:rsidRPr="00CA3EA4">
        <w:rPr>
          <w:rFonts w:ascii="Arial" w:eastAsia="Arial" w:hAnsi="Arial" w:cs="Arial"/>
          <w:sz w:val="22"/>
          <w:szCs w:val="22"/>
        </w:rPr>
        <w:t>Apsvarstyti galimybę strategiškiau išnaudoti KU narystės EU-CONEXUS ir Erasmus+ programas teikiamas galimybes.</w:t>
      </w:r>
    </w:p>
    <w:p w14:paraId="5EFA1D0F" w14:textId="77777777" w:rsidR="0008568E" w:rsidRPr="00CA3EA4" w:rsidRDefault="0008568E" w:rsidP="00CA3EA4">
      <w:pPr>
        <w:numPr>
          <w:ilvl w:val="0"/>
          <w:numId w:val="37"/>
        </w:numPr>
        <w:spacing w:after="240" w:line="276" w:lineRule="auto"/>
        <w:jc w:val="both"/>
        <w:rPr>
          <w:rFonts w:ascii="Arial" w:eastAsia="Arial" w:hAnsi="Arial" w:cs="Arial"/>
          <w:sz w:val="22"/>
          <w:szCs w:val="22"/>
        </w:rPr>
      </w:pPr>
      <w:r w:rsidRPr="00CA3EA4">
        <w:rPr>
          <w:rFonts w:ascii="Arial" w:eastAsia="Arial" w:hAnsi="Arial" w:cs="Arial"/>
          <w:sz w:val="22"/>
          <w:szCs w:val="22"/>
        </w:rPr>
        <w:t>apsvarstyti galimybę strategiškai dalyvauti nacionaliniuose ir Europos projektuose (pvz., "Horizon Europe"), kad būtų toliau plėtojamas mokslinių tyrimų portfelis.</w:t>
      </w:r>
    </w:p>
    <w:p w14:paraId="2B46A7A9" w14:textId="77777777" w:rsidR="00291AB7" w:rsidRPr="00CA3EA4" w:rsidRDefault="00291AB7" w:rsidP="00CA3EA4">
      <w:pPr>
        <w:spacing w:after="200" w:line="276" w:lineRule="auto"/>
        <w:jc w:val="both"/>
        <w:rPr>
          <w:rFonts w:ascii="Arial" w:eastAsia="Calibri" w:hAnsi="Arial" w:cs="Arial"/>
          <w:sz w:val="22"/>
          <w:szCs w:val="22"/>
          <w:lang w:val="en-GB" w:eastAsia="lt-LT"/>
        </w:rPr>
      </w:pPr>
      <w:r w:rsidRPr="00CA3EA4">
        <w:rPr>
          <w:rFonts w:ascii="Arial" w:eastAsia="Calibri" w:hAnsi="Arial" w:cs="Arial"/>
          <w:sz w:val="22"/>
          <w:szCs w:val="22"/>
          <w:lang w:val="en-GB" w:eastAsia="lt-LT"/>
        </w:rPr>
        <w:br w:type="page"/>
      </w:r>
    </w:p>
    <w:p w14:paraId="19E0A762" w14:textId="441FAA1A"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75CF06C6" w14:textId="77777777" w:rsidTr="0008568E">
        <w:tc>
          <w:tcPr>
            <w:tcW w:w="1720"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90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67A7BAB" w14:textId="77777777" w:rsidTr="0008568E">
        <w:tc>
          <w:tcPr>
            <w:tcW w:w="1720" w:type="dxa"/>
            <w:vAlign w:val="center"/>
          </w:tcPr>
          <w:p w14:paraId="481488A5" w14:textId="6B026A78"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ED64325" w14:textId="4DCA398F" w:rsidR="007E04D8" w:rsidRPr="002D0027" w:rsidRDefault="0008568E"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6CDAA4E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1AF5102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09EBF06B" w14:textId="77777777" w:rsidR="00A929E9" w:rsidRPr="00CA3EA4" w:rsidRDefault="00A929E9" w:rsidP="00CA3EA4">
      <w:pPr>
        <w:numPr>
          <w:ilvl w:val="0"/>
          <w:numId w:val="38"/>
        </w:numPr>
        <w:spacing w:line="276" w:lineRule="auto"/>
        <w:jc w:val="both"/>
        <w:rPr>
          <w:rFonts w:ascii="Arial" w:eastAsia="Arial" w:hAnsi="Arial" w:cs="Arial"/>
          <w:sz w:val="22"/>
          <w:szCs w:val="22"/>
        </w:rPr>
      </w:pPr>
      <w:r w:rsidRPr="00CA3EA4">
        <w:rPr>
          <w:rFonts w:ascii="Arial" w:eastAsia="Arial" w:hAnsi="Arial" w:cs="Arial"/>
          <w:sz w:val="22"/>
          <w:szCs w:val="22"/>
        </w:rPr>
        <w:t xml:space="preserve">Nepaisant to, kad biblioteka turi mažai vietos, jos fondai yra geri; įspūdingas naujų leidinių kiekis lietuvių ir anglų kalbomis.  </w:t>
      </w:r>
    </w:p>
    <w:p w14:paraId="64715D17" w14:textId="77777777" w:rsidR="007E04D8" w:rsidRPr="00CA3EA4" w:rsidRDefault="007E04D8" w:rsidP="00CA3EA4">
      <w:pPr>
        <w:spacing w:line="276" w:lineRule="auto"/>
        <w:jc w:val="both"/>
        <w:rPr>
          <w:rFonts w:ascii="Arial" w:hAnsi="Arial" w:cs="Arial"/>
          <w:b/>
          <w:bCs/>
          <w:color w:val="136C73"/>
          <w:sz w:val="22"/>
          <w:szCs w:val="22"/>
          <w:lang w:eastAsia="lt-LT"/>
        </w:rPr>
      </w:pPr>
    </w:p>
    <w:p w14:paraId="6C0D2959" w14:textId="77777777" w:rsidR="007E04D8" w:rsidRPr="00D44EA1" w:rsidRDefault="007E04D8" w:rsidP="00CF1D8A">
      <w:pPr>
        <w:spacing w:line="276" w:lineRule="auto"/>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4FF82E0C"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7F0B5FCB" w14:textId="77777777" w:rsidR="007E04D8" w:rsidRPr="00CA3EA4" w:rsidRDefault="007E04D8"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Trūkumams pašalinti</w:t>
      </w:r>
    </w:p>
    <w:p w14:paraId="7266DBFD"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1F81F2E5" w14:textId="77777777" w:rsidR="00125DBA" w:rsidRPr="00CA3EA4" w:rsidRDefault="00125DBA" w:rsidP="00CA3EA4">
      <w:pPr>
        <w:numPr>
          <w:ilvl w:val="0"/>
          <w:numId w:val="39"/>
        </w:numPr>
        <w:spacing w:line="276" w:lineRule="auto"/>
        <w:jc w:val="both"/>
        <w:rPr>
          <w:rFonts w:ascii="Arial" w:eastAsia="Arial" w:hAnsi="Arial" w:cs="Arial"/>
          <w:sz w:val="22"/>
          <w:szCs w:val="22"/>
        </w:rPr>
      </w:pPr>
      <w:r w:rsidRPr="00CA3EA4">
        <w:rPr>
          <w:rFonts w:ascii="Arial" w:eastAsia="Arial" w:hAnsi="Arial" w:cs="Arial"/>
          <w:sz w:val="22"/>
          <w:szCs w:val="22"/>
        </w:rPr>
        <w:t>Išteklių atnaujinimo planams būtų naudingas sistemingesnis ir visapusiškesnis požiūris, kuris sujungtų "iš viršaus į apačią" strategijas (kurių šiuo metu trūksta) su esamu "iš apačios į viršų" judrumu.</w:t>
      </w:r>
    </w:p>
    <w:p w14:paraId="6D4B2EC5" w14:textId="20F5FF10" w:rsidR="007E04D8" w:rsidRPr="00CA3EA4" w:rsidRDefault="00125DBA" w:rsidP="00CA3EA4">
      <w:pPr>
        <w:numPr>
          <w:ilvl w:val="0"/>
          <w:numId w:val="39"/>
        </w:numPr>
        <w:spacing w:after="240" w:line="276" w:lineRule="auto"/>
        <w:jc w:val="both"/>
        <w:rPr>
          <w:rFonts w:ascii="Arial" w:eastAsia="Arial" w:hAnsi="Arial" w:cs="Arial"/>
          <w:sz w:val="22"/>
          <w:szCs w:val="22"/>
        </w:rPr>
      </w:pPr>
      <w:r w:rsidRPr="00CA3EA4">
        <w:rPr>
          <w:rFonts w:ascii="Arial" w:eastAsia="Arial" w:hAnsi="Arial" w:cs="Arial"/>
          <w:sz w:val="22"/>
          <w:szCs w:val="22"/>
        </w:rPr>
        <w:t xml:space="preserve">Virtualios bibliotekos plėtros strategija apima ir prieigos prie literatūros anglų kalba didinimą. Siekdama maksimaliai išnaudoti anglų kalbos elektroninių duomenų bazių ir elektroninių knygų teikiamą naudą, užtikrinti modernų, tarptautiniu mastu konkurencingą išsilavinimą, KU turėtų daugiau dėmesio skirti studentų kalbų mokymui ir toliau stiprinti darbuotojų anglų kalbos žinias. </w:t>
      </w:r>
    </w:p>
    <w:p w14:paraId="784E39E4" w14:textId="43260F2E" w:rsidR="007E04D8" w:rsidRPr="00CA3EA4" w:rsidRDefault="00DE3287"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Tolesniam</w:t>
      </w:r>
      <w:r w:rsidR="007E04D8" w:rsidRPr="00CA3EA4">
        <w:rPr>
          <w:rFonts w:ascii="Arial" w:eastAsia="Calibri" w:hAnsi="Arial" w:cs="Arial"/>
          <w:iCs/>
          <w:color w:val="5B0009"/>
          <w:sz w:val="22"/>
          <w:szCs w:val="22"/>
          <w:lang w:eastAsia="lt-LT"/>
        </w:rPr>
        <w:t xml:space="preserve"> tobulėjimui</w:t>
      </w:r>
    </w:p>
    <w:p w14:paraId="6C0FE99E"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4AE93F97" w14:textId="77777777" w:rsidR="00106E17" w:rsidRPr="00CA3EA4" w:rsidRDefault="00106E17" w:rsidP="00CA3EA4">
      <w:pPr>
        <w:numPr>
          <w:ilvl w:val="0"/>
          <w:numId w:val="40"/>
        </w:numPr>
        <w:spacing w:after="240" w:line="276" w:lineRule="auto"/>
        <w:jc w:val="both"/>
        <w:rPr>
          <w:rFonts w:ascii="Arial" w:eastAsia="Arial" w:hAnsi="Arial" w:cs="Arial"/>
          <w:sz w:val="22"/>
          <w:szCs w:val="22"/>
        </w:rPr>
      </w:pPr>
      <w:r w:rsidRPr="00CA3EA4">
        <w:rPr>
          <w:rFonts w:ascii="Arial" w:eastAsia="Arial" w:hAnsi="Arial" w:cs="Arial"/>
          <w:sz w:val="22"/>
          <w:szCs w:val="22"/>
        </w:rPr>
        <w:t xml:space="preserve">Padidinus akademinio personalo biurų plotą ir sukūrus daugiau socialinių erdvių studentams, būtų skatinamas glaudesnis bendravimas, o tai galiausiai padidintų akademinį įsitraukimą ir rezultatus. </w:t>
      </w:r>
    </w:p>
    <w:p w14:paraId="2AE5BEEA" w14:textId="77777777" w:rsidR="007E04D8" w:rsidRPr="002D0027" w:rsidRDefault="007E04D8">
      <w:pPr>
        <w:spacing w:after="200" w:line="276" w:lineRule="auto"/>
        <w:rPr>
          <w:rFonts w:ascii="Arial" w:eastAsia="Arial Unicode MS" w:hAnsi="Arial" w:cs="Arial"/>
          <w:b/>
          <w:color w:val="136C73"/>
          <w:sz w:val="28"/>
          <w:szCs w:val="28"/>
          <w:lang w:val="en-GB" w:eastAsia="en-US"/>
        </w:rPr>
      </w:pPr>
      <w:r w:rsidRPr="002D0027">
        <w:rPr>
          <w:rFonts w:ascii="Arial" w:hAnsi="Arial" w:cs="Arial"/>
          <w:color w:val="136C73"/>
          <w:sz w:val="28"/>
          <w:szCs w:val="28"/>
        </w:rPr>
        <w:br w:type="page"/>
      </w:r>
    </w:p>
    <w:p w14:paraId="0DCD7FCA" w14:textId="352E66E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381A50EE" w14:textId="77777777" w:rsidTr="00707F8A">
        <w:tc>
          <w:tcPr>
            <w:tcW w:w="1720"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90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495"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5A6ADA79" w14:textId="77777777" w:rsidTr="00707F8A">
        <w:tc>
          <w:tcPr>
            <w:tcW w:w="1720" w:type="dxa"/>
            <w:vAlign w:val="center"/>
          </w:tcPr>
          <w:p w14:paraId="3E79BC90" w14:textId="56BB64EB"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6DE1B3C" w14:textId="161B4404" w:rsidR="007E04D8" w:rsidRPr="002D0027" w:rsidRDefault="00707F8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495" w:type="dxa"/>
            <w:vAlign w:val="center"/>
          </w:tcPr>
          <w:p w14:paraId="31C79B3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3AA33421" w14:textId="77777777" w:rsidR="007E04D8" w:rsidRPr="002D0027" w:rsidRDefault="007E04D8" w:rsidP="00CF1D8A">
      <w:pPr>
        <w:spacing w:line="276" w:lineRule="auto"/>
        <w:rPr>
          <w:rFonts w:ascii="Arial" w:hAnsi="Arial" w:cs="Arial"/>
          <w:b/>
          <w:bCs/>
          <w:color w:val="136C73"/>
          <w:sz w:val="22"/>
          <w:szCs w:val="22"/>
          <w:lang w:eastAsia="lt-LT"/>
        </w:rPr>
      </w:pPr>
    </w:p>
    <w:p w14:paraId="07F6E2F1" w14:textId="77777777" w:rsidR="006E5F5A" w:rsidRPr="00CA3EA4" w:rsidRDefault="006E5F5A" w:rsidP="00CA3EA4">
      <w:pPr>
        <w:numPr>
          <w:ilvl w:val="0"/>
          <w:numId w:val="41"/>
        </w:numPr>
        <w:spacing w:line="276" w:lineRule="auto"/>
        <w:jc w:val="both"/>
        <w:rPr>
          <w:rFonts w:ascii="Arial" w:eastAsia="Arial" w:hAnsi="Arial" w:cs="Arial"/>
          <w:sz w:val="22"/>
          <w:szCs w:val="22"/>
        </w:rPr>
      </w:pPr>
      <w:r w:rsidRPr="00CA3EA4">
        <w:rPr>
          <w:rFonts w:ascii="Arial" w:eastAsia="Arial" w:hAnsi="Arial" w:cs="Arial"/>
          <w:sz w:val="22"/>
          <w:szCs w:val="22"/>
        </w:rPr>
        <w:t>Antrasis ciklas "Nacionalinis saugumas" skatina aukštą studentų ir absolventų pasitenkinimo lygį.</w:t>
      </w:r>
    </w:p>
    <w:p w14:paraId="65B6A7AA" w14:textId="77777777" w:rsidR="007E04D8" w:rsidRPr="00CA3EA4" w:rsidRDefault="007E04D8" w:rsidP="00CA3EA4">
      <w:pPr>
        <w:spacing w:line="276" w:lineRule="auto"/>
        <w:jc w:val="both"/>
        <w:rPr>
          <w:rFonts w:ascii="Arial" w:hAnsi="Arial" w:cs="Arial"/>
          <w:b/>
          <w:bCs/>
          <w:color w:val="136C73"/>
          <w:sz w:val="22"/>
          <w:szCs w:val="22"/>
          <w:lang w:eastAsia="lt-LT"/>
        </w:rPr>
      </w:pPr>
    </w:p>
    <w:p w14:paraId="2B4B1201" w14:textId="77777777" w:rsidR="007E04D8" w:rsidRPr="002D0027" w:rsidRDefault="007E04D8" w:rsidP="00CF1D8A">
      <w:pPr>
        <w:spacing w:line="276" w:lineRule="auto"/>
        <w:rPr>
          <w:rFonts w:ascii="Arial" w:hAnsi="Arial" w:cs="Arial"/>
          <w:b/>
          <w:bCs/>
          <w:color w:val="136C73"/>
          <w:sz w:val="22"/>
          <w:szCs w:val="22"/>
          <w:lang w:eastAsia="lt-LT"/>
        </w:rPr>
      </w:pPr>
      <w:r w:rsidRPr="00D44EA1">
        <w:rPr>
          <w:rFonts w:ascii="Arial" w:hAnsi="Arial" w:cs="Arial"/>
          <w:b/>
          <w:bCs/>
          <w:color w:val="5B0009"/>
          <w:sz w:val="22"/>
          <w:szCs w:val="22"/>
          <w:lang w:eastAsia="lt-LT"/>
        </w:rPr>
        <w:t>REKOMENDACIJOS</w:t>
      </w:r>
    </w:p>
    <w:p w14:paraId="79FE83C1" w14:textId="77777777" w:rsidR="007E04D8" w:rsidRPr="002D0027" w:rsidRDefault="007E04D8" w:rsidP="00CF1D8A">
      <w:pPr>
        <w:tabs>
          <w:tab w:val="left" w:pos="1298"/>
          <w:tab w:val="left" w:pos="1985"/>
        </w:tabs>
        <w:spacing w:line="276" w:lineRule="auto"/>
        <w:jc w:val="both"/>
        <w:rPr>
          <w:rFonts w:ascii="Arial" w:eastAsia="Calibri" w:hAnsi="Arial" w:cs="Arial"/>
          <w:iCs/>
          <w:color w:val="136C73"/>
          <w:sz w:val="22"/>
          <w:szCs w:val="22"/>
          <w:lang w:eastAsia="lt-LT"/>
        </w:rPr>
      </w:pPr>
    </w:p>
    <w:p w14:paraId="341189AF" w14:textId="77777777" w:rsidR="007E04D8" w:rsidRPr="00CA3EA4" w:rsidRDefault="007E04D8"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Trūkumams pašalinti</w:t>
      </w:r>
    </w:p>
    <w:p w14:paraId="1FDBE11B"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2DC5FD26" w14:textId="77777777" w:rsidR="0039417D" w:rsidRPr="00CA3EA4" w:rsidRDefault="0039417D" w:rsidP="00CA3EA4">
      <w:pPr>
        <w:numPr>
          <w:ilvl w:val="0"/>
          <w:numId w:val="42"/>
        </w:numPr>
        <w:spacing w:line="276" w:lineRule="auto"/>
        <w:jc w:val="both"/>
        <w:rPr>
          <w:rFonts w:ascii="Arial" w:eastAsia="Arial" w:hAnsi="Arial" w:cs="Arial"/>
          <w:sz w:val="22"/>
          <w:szCs w:val="22"/>
        </w:rPr>
      </w:pPr>
      <w:r w:rsidRPr="00CA3EA4">
        <w:rPr>
          <w:rFonts w:ascii="Arial" w:eastAsia="Arial" w:hAnsi="Arial" w:cs="Arial"/>
          <w:sz w:val="22"/>
          <w:szCs w:val="22"/>
        </w:rPr>
        <w:t>Reikia veiksmingai įgyvendinti iš įvairių suinteresuotųjų šalių grupių gautą grįžtamąją informaciją.</w:t>
      </w:r>
    </w:p>
    <w:p w14:paraId="0C7D9D32"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4A043A0A" w14:textId="68D34824" w:rsidR="007E04D8" w:rsidRPr="00CA3EA4" w:rsidRDefault="00DE3287" w:rsidP="00CA3EA4">
      <w:pPr>
        <w:tabs>
          <w:tab w:val="left" w:pos="1298"/>
          <w:tab w:val="left" w:pos="1985"/>
        </w:tabs>
        <w:spacing w:line="276" w:lineRule="auto"/>
        <w:jc w:val="both"/>
        <w:rPr>
          <w:rFonts w:ascii="Arial" w:eastAsia="Calibri" w:hAnsi="Arial" w:cs="Arial"/>
          <w:iCs/>
          <w:color w:val="5B0009"/>
          <w:sz w:val="22"/>
          <w:szCs w:val="22"/>
          <w:lang w:eastAsia="lt-LT"/>
        </w:rPr>
      </w:pPr>
      <w:r w:rsidRPr="00CA3EA4">
        <w:rPr>
          <w:rFonts w:ascii="Arial" w:eastAsia="Calibri" w:hAnsi="Arial" w:cs="Arial"/>
          <w:iCs/>
          <w:color w:val="5B0009"/>
          <w:sz w:val="22"/>
          <w:szCs w:val="22"/>
          <w:lang w:eastAsia="lt-LT"/>
        </w:rPr>
        <w:t>Tolesniam</w:t>
      </w:r>
      <w:r w:rsidR="007E04D8" w:rsidRPr="00CA3EA4">
        <w:rPr>
          <w:rFonts w:ascii="Arial" w:eastAsia="Calibri" w:hAnsi="Arial" w:cs="Arial"/>
          <w:iCs/>
          <w:color w:val="5B0009"/>
          <w:sz w:val="22"/>
          <w:szCs w:val="22"/>
          <w:lang w:eastAsia="lt-LT"/>
        </w:rPr>
        <w:t xml:space="preserve"> tobulėjimui</w:t>
      </w:r>
    </w:p>
    <w:p w14:paraId="1F337849" w14:textId="77777777" w:rsidR="007E04D8" w:rsidRPr="00CA3EA4" w:rsidRDefault="007E04D8" w:rsidP="00CA3EA4">
      <w:pPr>
        <w:tabs>
          <w:tab w:val="left" w:pos="1298"/>
          <w:tab w:val="left" w:pos="1985"/>
        </w:tabs>
        <w:spacing w:line="276" w:lineRule="auto"/>
        <w:jc w:val="both"/>
        <w:rPr>
          <w:rFonts w:ascii="Arial" w:eastAsia="Calibri" w:hAnsi="Arial" w:cs="Arial"/>
          <w:iCs/>
          <w:sz w:val="22"/>
          <w:szCs w:val="22"/>
          <w:lang w:eastAsia="lt-LT"/>
        </w:rPr>
      </w:pPr>
    </w:p>
    <w:p w14:paraId="730B2486" w14:textId="77777777" w:rsidR="004675C1" w:rsidRPr="00CA3EA4" w:rsidRDefault="004675C1" w:rsidP="00CA3EA4">
      <w:pPr>
        <w:numPr>
          <w:ilvl w:val="0"/>
          <w:numId w:val="43"/>
        </w:numPr>
        <w:spacing w:line="276" w:lineRule="auto"/>
        <w:jc w:val="both"/>
        <w:rPr>
          <w:rFonts w:ascii="Arial" w:eastAsia="Arial" w:hAnsi="Arial" w:cs="Arial"/>
          <w:sz w:val="22"/>
          <w:szCs w:val="22"/>
        </w:rPr>
      </w:pPr>
      <w:r w:rsidRPr="00CA3EA4">
        <w:rPr>
          <w:rFonts w:ascii="Arial" w:eastAsia="Arial" w:hAnsi="Arial" w:cs="Arial"/>
          <w:sz w:val="22"/>
          <w:szCs w:val="22"/>
        </w:rPr>
        <w:t>Sukurti studentų atsiliepimų ir pasitenkinimo duomenų bazę (pvz., pasitelkiant "Studijų barometrą").</w:t>
      </w:r>
    </w:p>
    <w:p w14:paraId="6D4DFD79" w14:textId="77777777" w:rsidR="00291AB7" w:rsidRPr="00CA3EA4" w:rsidRDefault="00291AB7" w:rsidP="00CA3EA4">
      <w:pPr>
        <w:spacing w:line="276" w:lineRule="auto"/>
        <w:jc w:val="both"/>
        <w:rPr>
          <w:rFonts w:ascii="Arial" w:eastAsia="Calibri" w:hAnsi="Arial" w:cs="Arial"/>
          <w:sz w:val="22"/>
          <w:szCs w:val="22"/>
          <w:lang w:val="en-GB" w:eastAsia="lt-LT"/>
        </w:rPr>
      </w:pPr>
      <w:r w:rsidRPr="00CA3EA4">
        <w:rPr>
          <w:rFonts w:ascii="Arial" w:eastAsia="Calibri" w:hAnsi="Arial" w:cs="Arial"/>
          <w:sz w:val="22"/>
          <w:szCs w:val="22"/>
          <w:lang w:eastAsia="lt-LT"/>
        </w:rPr>
        <w:br w:type="page"/>
      </w:r>
    </w:p>
    <w:p w14:paraId="6401FD98" w14:textId="1F821494" w:rsidR="00291AB7" w:rsidRPr="00535C59" w:rsidRDefault="00291AB7" w:rsidP="00CA3EA4">
      <w:pPr>
        <w:spacing w:line="276" w:lineRule="auto"/>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CA3EA4">
      <w:pPr>
        <w:spacing w:line="276" w:lineRule="auto"/>
        <w:rPr>
          <w:rFonts w:ascii="Arial" w:hAnsi="Arial" w:cs="Arial"/>
          <w:b/>
          <w:bCs/>
          <w:color w:val="136C73"/>
          <w:sz w:val="22"/>
          <w:szCs w:val="22"/>
        </w:rPr>
      </w:pPr>
    </w:p>
    <w:p w14:paraId="643CC318" w14:textId="77777777"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Klaipėdos universiteto antrosios pakopos studijų programa "Nacionalinis saugumas" skirta nacionalinio saugumo politikai ir jos praktiniam taikymui, suderintai su nacionalinėmis strategijomis, tokiomis kaip "Lietuva 2050" ir Nacionalinio saugumo strategija, taip pat regioninėmis sistemomis. Tačiau ji nevisiškai išnaudoja Klaipėdos universiteto geografinį pranašumą ir kompetenciją jūrų saugumo srityje, kuri turi didelį plėtros potencialą. Nors programa integruoja nacionalines ir regionines saugumo strategijas, reikia labiau subalansuoto požiūrio, vienodai akcentuojančio teorines ir praktines kompetencijas. Absolventai įsidarbina įvairiuose saugumo sektoriuose, palaiko glaudžius absolventų ryšius, ypač Lietuvos kariniame jūrų laivyne. Nors programa atitinka teisinius reikalavimus, ją dar galima tobulinti, siūlant lankstesnes mokymosi galimybes, plečiant praktikos galimybes ir didinant tarptautinės patirties apimtis. Baigiamieji darbai yra aukštos kokybės, o aktyvesnis socialinių partnerių dalyvavimas galėtų dar labiau pagerinti programą.</w:t>
      </w:r>
    </w:p>
    <w:p w14:paraId="0A156F07" w14:textId="77777777" w:rsidR="00333940" w:rsidRPr="00CA3EA4" w:rsidRDefault="00333940" w:rsidP="00CA3EA4">
      <w:pPr>
        <w:spacing w:line="276" w:lineRule="auto"/>
        <w:jc w:val="both"/>
        <w:rPr>
          <w:rFonts w:ascii="Arial" w:eastAsia="Arial" w:hAnsi="Arial" w:cs="Arial"/>
          <w:sz w:val="22"/>
          <w:szCs w:val="22"/>
        </w:rPr>
      </w:pPr>
    </w:p>
    <w:p w14:paraId="735103F5" w14:textId="77777777"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Klaipėdos universiteto Politikos mokslų katedros mokslininkai daugiausia dėmesio skiria nacionalinio saugumo, vidaus saugumo ir socialinės bei ekonominės gerovės tyrimams Baltijos jūros regione. Fakulteto moksliniai tyrimai apima politinę sociologiją ir valdymą. Tačiau tik vienas dėstytojas specializuojasi tarptautinių santykių ir nacionalinio saugumo srityje, o publikacijų šioje srityje yra nedaug. Nors dėstytojų publikacijų skaičius išaugo, dauguma jų yra lietuvių kalba, o tarptautinių recenzuojamų straipsnių vis dar nedaug. Mokslinių tyrimų veikla nėra tinkamai integruota į dėstymą, o bendra mokslinių tyrimų apimtis atrodo fragmentiška. Studentai įsitraukia į mokslinius tyrimus atlikdami užduotis ir rašydami baigiamuosius darbus, kai kurie tęsia doktorantūros studijas. Tačiau programai būtų naudingi platesnio užmojo, pasauliniu mastu orientuoti mokslinių tyrimų projektai.</w:t>
      </w:r>
    </w:p>
    <w:p w14:paraId="0611B27D" w14:textId="77777777" w:rsidR="00333940" w:rsidRPr="00CA3EA4" w:rsidRDefault="00333940" w:rsidP="00CA3EA4">
      <w:pPr>
        <w:spacing w:line="276" w:lineRule="auto"/>
        <w:jc w:val="both"/>
        <w:rPr>
          <w:rFonts w:ascii="Arial" w:eastAsia="Arial" w:hAnsi="Arial" w:cs="Arial"/>
          <w:sz w:val="22"/>
          <w:szCs w:val="22"/>
        </w:rPr>
      </w:pPr>
    </w:p>
    <w:p w14:paraId="6FF908D9" w14:textId="251C4B66"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 xml:space="preserve">Paramos studentams paslaugos yra gerai išplėtotos, o studentų pasitenkinimas jomis yra aukštas. Universitetas teikia visapusišką finansinę, akademinę ir psichologinę paramą. Tačiau dalyvavimas "Erasmus+" mobilumo programoje yra labai ribotas, daugiausia dėl studentų darbo įsipareigojimų. Programai būtų naudingos alternatyvios tarptautiškumo didinimo galimybės, pritaikytos dirbantiems studentams. Be to, nepaisant didelio </w:t>
      </w:r>
      <w:r w:rsidR="00CA3EA4">
        <w:rPr>
          <w:rFonts w:ascii="Arial" w:eastAsia="Arial" w:hAnsi="Arial" w:cs="Arial"/>
          <w:sz w:val="22"/>
          <w:szCs w:val="22"/>
        </w:rPr>
        <w:t xml:space="preserve">stojančiųjų </w:t>
      </w:r>
      <w:r w:rsidRPr="00CA3EA4">
        <w:rPr>
          <w:rFonts w:ascii="Arial" w:eastAsia="Arial" w:hAnsi="Arial" w:cs="Arial"/>
          <w:sz w:val="22"/>
          <w:szCs w:val="22"/>
        </w:rPr>
        <w:t>susidomėjimo, maža</w:t>
      </w:r>
      <w:r w:rsidR="00CA3EA4">
        <w:rPr>
          <w:rFonts w:ascii="Arial" w:eastAsia="Arial" w:hAnsi="Arial" w:cs="Arial"/>
          <w:sz w:val="22"/>
          <w:szCs w:val="22"/>
        </w:rPr>
        <w:t>s</w:t>
      </w:r>
      <w:r w:rsidRPr="00CA3EA4">
        <w:rPr>
          <w:rFonts w:ascii="Arial" w:eastAsia="Arial" w:hAnsi="Arial" w:cs="Arial"/>
          <w:sz w:val="22"/>
          <w:szCs w:val="22"/>
        </w:rPr>
        <w:t xml:space="preserve"> studentų</w:t>
      </w:r>
      <w:r w:rsidR="00CA3EA4">
        <w:rPr>
          <w:rFonts w:ascii="Arial" w:eastAsia="Arial" w:hAnsi="Arial" w:cs="Arial"/>
          <w:sz w:val="22"/>
          <w:szCs w:val="22"/>
        </w:rPr>
        <w:t xml:space="preserve"> pritraukimas</w:t>
      </w:r>
      <w:r w:rsidRPr="00CA3EA4">
        <w:rPr>
          <w:rFonts w:ascii="Arial" w:eastAsia="Arial" w:hAnsi="Arial" w:cs="Arial"/>
          <w:sz w:val="22"/>
          <w:szCs w:val="22"/>
        </w:rPr>
        <w:t xml:space="preserve"> tebėra problema. Tikslinės rinkodaros pastangos ir glaudesnis bendradarbiavimas su absolventais ir socialiniais partneriais galėtų padidinti programos matomumą ir įdarbinimą.</w:t>
      </w:r>
    </w:p>
    <w:p w14:paraId="3FD569D0" w14:textId="77777777" w:rsidR="00333940" w:rsidRPr="00CA3EA4" w:rsidRDefault="00333940" w:rsidP="00CA3EA4">
      <w:pPr>
        <w:spacing w:line="276" w:lineRule="auto"/>
        <w:jc w:val="both"/>
        <w:rPr>
          <w:rFonts w:ascii="Arial" w:eastAsia="Arial" w:hAnsi="Arial" w:cs="Arial"/>
          <w:sz w:val="22"/>
          <w:szCs w:val="22"/>
        </w:rPr>
      </w:pPr>
    </w:p>
    <w:p w14:paraId="79492980" w14:textId="3F13EDCB"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 xml:space="preserve">Studijų programoje taikomi įvairūs mokymo metodai, tačiau novatoriškų metodų vis dar nedaug. Studentai vertina taikomąsias žinias tokiose srityse kaip politinės žiniasklaidos analizė ir kibernetinis saugumas. Tačiau mažas priimtų studentų skaičius turi įtakos programos tvarumui ir riboja plėtros galimybes. Nepaisant to, programa siūlo lanksčias studijų galimybes, leidžiančias studentams tęsti doktorantūros studijas. Universitetas užtikrina prieinamumą socialiai pažeidžiamiems ir specialiųjų poreikių turintiems studentams ir siūlo pritaikytą mokymosi patirtį. Nors dėstymas atitinka tudentų poreikius, reikia papildomų pastangų pritraukti valstybės nefinansuojamus studentus. Studentų pažangumas sistemingai stebimas, veikia grįžtamojo ryšio mechanizmai. Tačiau absolventų įsidarbinimo galimybės ir parama karjerai tebėra ribotos. Darbdavių ir absolventų dalyvavimas, pavyzdžiui, formuojant </w:t>
      </w:r>
      <w:r w:rsidR="00CA3EA4">
        <w:rPr>
          <w:rFonts w:ascii="Arial" w:eastAsia="Arial" w:hAnsi="Arial" w:cs="Arial"/>
          <w:sz w:val="22"/>
          <w:szCs w:val="22"/>
        </w:rPr>
        <w:t xml:space="preserve">studijų </w:t>
      </w:r>
      <w:r w:rsidRPr="00CA3EA4">
        <w:rPr>
          <w:rFonts w:ascii="Arial" w:eastAsia="Arial" w:hAnsi="Arial" w:cs="Arial"/>
          <w:sz w:val="22"/>
          <w:szCs w:val="22"/>
        </w:rPr>
        <w:t>programą, galėtų būti geresnis. Taikoma akademinio sąžiningumo ir nediskriminavimo politika, apie pažeidimus nepranešta. Tačiau apeliacijų ir skundų nagrinėjimo procedūrų veiksmingumą sunku įvertinti, nes apeliacijų ar skundų nebuvo pateikta.</w:t>
      </w:r>
    </w:p>
    <w:p w14:paraId="06CA04A5" w14:textId="77777777" w:rsidR="00333940" w:rsidRPr="00CA3EA4" w:rsidRDefault="00333940" w:rsidP="00CA3EA4">
      <w:pPr>
        <w:spacing w:line="276" w:lineRule="auto"/>
        <w:jc w:val="both"/>
        <w:rPr>
          <w:rFonts w:ascii="Arial" w:eastAsia="Arial" w:hAnsi="Arial" w:cs="Arial"/>
          <w:sz w:val="22"/>
          <w:szCs w:val="22"/>
        </w:rPr>
      </w:pPr>
    </w:p>
    <w:p w14:paraId="0F20EC36" w14:textId="77777777"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Dėstytojai yra gerai kvalifikuoti, tačiau dėl mažo pagrindinių dėstytojų skaičiaus kyla pavojus programos tvarumui. Dėl nepakankamos dėstytojų specializacijos saugumo studijų srityje akademinis gilumas yra ribotas, o mokslinių tyrimų rezultatai tarptautiniu lygmeniu vis dar nepakankami. Nors yra profesinio tobulėjimo ir akademinio judumo galimybių, dėstytojų atvykstamasis judumas vis dar nedidelis. ES-CONEXUS iniciatyva suteikia galimybių padidinti tiek atvykstamąjį, tiek išvykstamąjį judumą.</w:t>
      </w:r>
    </w:p>
    <w:p w14:paraId="7D1284EB" w14:textId="77777777" w:rsidR="00333940" w:rsidRPr="00CA3EA4" w:rsidRDefault="00333940" w:rsidP="00CA3EA4">
      <w:pPr>
        <w:spacing w:line="276" w:lineRule="auto"/>
        <w:jc w:val="both"/>
        <w:rPr>
          <w:rFonts w:ascii="Arial" w:eastAsia="Arial" w:hAnsi="Arial" w:cs="Arial"/>
          <w:sz w:val="22"/>
          <w:szCs w:val="22"/>
        </w:rPr>
      </w:pPr>
    </w:p>
    <w:p w14:paraId="4A821924" w14:textId="77777777"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lastRenderedPageBreak/>
        <w:t>Klaipėdos universitetas suteikia tinkamas patalpas, informacinius išteklius ir finansinę paramą Nacionalinio saugumo programai. Fakultete yra gerai įrengtos auditorijos, kuriose įdiegtos pažangios technologijos, įskaitant interaktyviąsias lentas ir SMART stalus. Virtualioje mokymosi aplinkoje Moodle palaikoma kursų medžiaga ir konsultacijos internetu. Bibliotekoje sukaupta pakankamai politikos mokslų literatūros, ji reguliariai atnaujinama ir suteikiama prieiga prie akademinių duomenų bazių. Nors bibliotekos erdvė yra ribota, nuolatinis išteklių planavimas ir nuolatinis atnaujinimas užtikrina, kad programos poreikiai būtų patenkinti.</w:t>
      </w:r>
    </w:p>
    <w:p w14:paraId="7C0B57F6" w14:textId="77777777" w:rsidR="00333940" w:rsidRPr="00CA3EA4" w:rsidRDefault="00333940" w:rsidP="00CA3EA4">
      <w:pPr>
        <w:spacing w:line="276" w:lineRule="auto"/>
        <w:jc w:val="both"/>
        <w:rPr>
          <w:rFonts w:ascii="Arial" w:eastAsia="Arial" w:hAnsi="Arial" w:cs="Arial"/>
          <w:sz w:val="22"/>
          <w:szCs w:val="22"/>
        </w:rPr>
      </w:pPr>
    </w:p>
    <w:p w14:paraId="5A3A690F" w14:textId="77777777"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Kokybės užtikrinimo procesai yra gerai struktūrizuoti, juose dalyvauja įvairios suinteresuotosios šalys, o studentų pasitenkinimas programų stebėsena yra didelis. Programos kokybę prižiūri keli komitetai, ji nuolat gerinama atliekant personalo vertinimus, studentų apklausas ir grįžtamojo ryšio valdymą. Tačiau dar reikia tobulinti sistemingą studentų, absolventų ir socialinių partnerių atsiliepimų įgyvendinimą.</w:t>
      </w:r>
    </w:p>
    <w:p w14:paraId="0DDD457C" w14:textId="77777777" w:rsidR="00333940" w:rsidRPr="00CA3EA4" w:rsidRDefault="00333940" w:rsidP="00CA3EA4">
      <w:pPr>
        <w:spacing w:line="276" w:lineRule="auto"/>
        <w:jc w:val="both"/>
        <w:rPr>
          <w:rFonts w:ascii="Arial" w:eastAsia="Arial" w:hAnsi="Arial" w:cs="Arial"/>
          <w:sz w:val="22"/>
          <w:szCs w:val="22"/>
        </w:rPr>
      </w:pPr>
    </w:p>
    <w:p w14:paraId="7CBF6223" w14:textId="71931B7C" w:rsidR="00333940" w:rsidRPr="00CA3EA4" w:rsidRDefault="00333940" w:rsidP="00CA3EA4">
      <w:pPr>
        <w:spacing w:line="276" w:lineRule="auto"/>
        <w:jc w:val="both"/>
        <w:rPr>
          <w:rFonts w:ascii="Arial" w:eastAsia="Arial" w:hAnsi="Arial" w:cs="Arial"/>
          <w:sz w:val="22"/>
          <w:szCs w:val="22"/>
        </w:rPr>
      </w:pPr>
      <w:r w:rsidRPr="00CA3EA4">
        <w:rPr>
          <w:rFonts w:ascii="Arial" w:eastAsia="Arial" w:hAnsi="Arial" w:cs="Arial"/>
          <w:sz w:val="22"/>
          <w:szCs w:val="22"/>
        </w:rPr>
        <w:t xml:space="preserve">Apibendrinant galima teigti, kad Klaipėdos universiteto Nacionalinio saugumo programa turi reikšmingų privalumų, tokių kaip jos suderinamumas su nacionalinio saugumo prioritetais ir teigiami studentų bei absolventų atsiliepimai. Tačiau ji ne visiškai išnaudoja strateginę pakrantės vietą, kad galėtų plėtoti jūrų saugumo ir tarptautinio bendradarbiavimo kompetenciją, o tai tebėra nepakankamai išnaudojama galimybė. Be to, ji susiduria su pagrindiniais iššūkiais, kuriuos būtina spręsti, kad būtų užtikrinta ilgalaikė sėkmė. Reikėtų atnaujinti </w:t>
      </w:r>
      <w:r w:rsidR="00CA3EA4">
        <w:rPr>
          <w:rFonts w:ascii="Arial" w:eastAsia="Arial" w:hAnsi="Arial" w:cs="Arial"/>
          <w:sz w:val="22"/>
          <w:szCs w:val="22"/>
        </w:rPr>
        <w:t xml:space="preserve">studijų </w:t>
      </w:r>
      <w:r w:rsidRPr="00CA3EA4">
        <w:rPr>
          <w:rFonts w:ascii="Arial" w:eastAsia="Arial" w:hAnsi="Arial" w:cs="Arial"/>
          <w:sz w:val="22"/>
          <w:szCs w:val="22"/>
        </w:rPr>
        <w:t>programą, kad ji atspindėtų besikeičiančius saugumo poreikius, stiprinti dėstytojų kompetenciją ir plėsti studentų įsitraukimą į tarptautines galimybes. Šių problemų sprendimas pasitelkiant strateginį planavimą ir tikslingus patobulinimus bus labai svarbus siekiant išlaikyti programos konkurencingumą ir tvarumą.</w:t>
      </w:r>
    </w:p>
    <w:p w14:paraId="4F44C6A2" w14:textId="10BB2CD5" w:rsidR="00291AB7" w:rsidRPr="00CA3EA4" w:rsidRDefault="00291AB7" w:rsidP="00CA3EA4">
      <w:pPr>
        <w:spacing w:line="276" w:lineRule="auto"/>
        <w:jc w:val="both"/>
        <w:rPr>
          <w:rFonts w:ascii="Arial" w:hAnsi="Arial" w:cs="Arial"/>
          <w:b/>
          <w:bCs/>
          <w:color w:val="136C73"/>
          <w:sz w:val="22"/>
          <w:szCs w:val="22"/>
        </w:rPr>
      </w:pPr>
    </w:p>
    <w:p w14:paraId="1C85191C" w14:textId="77777777"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77777777"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programą ,,DeepL“.</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849D" w14:textId="77777777" w:rsidR="001F3872" w:rsidRDefault="001F3872" w:rsidP="0042467A">
      <w:r>
        <w:separator/>
      </w:r>
    </w:p>
  </w:endnote>
  <w:endnote w:type="continuationSeparator" w:id="0">
    <w:p w14:paraId="7B9257FC" w14:textId="77777777" w:rsidR="001F3872" w:rsidRDefault="001F3872"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B55A" w14:textId="77777777" w:rsidR="001F3872" w:rsidRDefault="001F3872" w:rsidP="0042467A">
      <w:r>
        <w:separator/>
      </w:r>
    </w:p>
  </w:footnote>
  <w:footnote w:type="continuationSeparator" w:id="0">
    <w:p w14:paraId="0A1B976B" w14:textId="77777777" w:rsidR="001F3872" w:rsidRDefault="001F3872" w:rsidP="0042467A">
      <w:r>
        <w:continuationSeparator/>
      </w:r>
    </w:p>
  </w:footnote>
  <w:footnote w:id="1">
    <w:p w14:paraId="7A39A81F" w14:textId="10F3B93B" w:rsidR="00DB692D" w:rsidRDefault="00DB692D" w:rsidP="00DB692D">
      <w:pPr>
        <w:pStyle w:val="FootnoteText"/>
        <w:jc w:val="both"/>
        <w:rPr>
          <w:rFonts w:ascii="Arial" w:hAnsi="Arial" w:cs="Arial"/>
          <w:b/>
          <w:bCs/>
          <w:color w:val="5B0009"/>
          <w:sz w:val="18"/>
          <w:szCs w:val="18"/>
        </w:rPr>
      </w:pPr>
      <w:r>
        <w:rPr>
          <w:rFonts w:ascii="Arial" w:hAnsi="Arial" w:cs="Arial"/>
          <w:b/>
          <w:bCs/>
          <w:color w:val="5B0009"/>
          <w:sz w:val="18"/>
          <w:szCs w:val="18"/>
        </w:rPr>
        <w:t>*</w:t>
      </w:r>
    </w:p>
    <w:p w14:paraId="0673BA27" w14:textId="46B3C92D" w:rsidR="00DB692D" w:rsidRPr="00F323F3" w:rsidRDefault="00DB692D" w:rsidP="00DB692D">
      <w:pPr>
        <w:pStyle w:val="FootnoteText"/>
        <w:jc w:val="both"/>
        <w:rPr>
          <w:rFonts w:ascii="Arial" w:hAnsi="Arial" w:cs="Arial"/>
          <w:sz w:val="18"/>
          <w:szCs w:val="18"/>
        </w:rPr>
      </w:pP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20B90DD6" w14:textId="77777777" w:rsidR="00DB692D" w:rsidRPr="00F323F3" w:rsidRDefault="00DB692D" w:rsidP="00DB692D">
      <w:pPr>
        <w:pStyle w:val="FootnoteText"/>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76548FE6" w14:textId="77777777" w:rsidR="00DB692D" w:rsidRPr="00F323F3" w:rsidRDefault="00DB692D" w:rsidP="00DB692D">
      <w:pPr>
        <w:pStyle w:val="FootnoteText"/>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25215D7F" w14:textId="77777777" w:rsidR="00DB692D" w:rsidRPr="00F323F3" w:rsidRDefault="00DB692D" w:rsidP="00DB692D">
      <w:pPr>
        <w:pStyle w:val="FootnoteText"/>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0C0C9D31" w14:textId="77777777" w:rsidR="00DB692D" w:rsidRPr="00F323F3" w:rsidRDefault="00DB692D" w:rsidP="00DB692D">
      <w:pPr>
        <w:pStyle w:val="FootnoteText"/>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p w14:paraId="755BB6D5" w14:textId="77777777" w:rsidR="005D0FF7" w:rsidRPr="005D0FF7" w:rsidRDefault="005D0FF7" w:rsidP="005D0FF7">
      <w:pPr>
        <w:pStyle w:val="FootnoteText"/>
        <w:rPr>
          <w:rFonts w:asciiTheme="minorHAnsi" w:hAnsiTheme="minorHAnsi" w:cstheme="minorHAnsi"/>
        </w:rPr>
      </w:pPr>
    </w:p>
  </w:footnote>
  <w:footnote w:id="2">
    <w:p w14:paraId="12083AC5" w14:textId="77777777" w:rsidR="00BE720C" w:rsidRPr="000D455C" w:rsidRDefault="00BE720C" w:rsidP="00BE720C">
      <w:pPr>
        <w:pStyle w:val="FootnoteText"/>
        <w:jc w:val="both"/>
        <w:rPr>
          <w:rFonts w:ascii="Arial" w:hAnsi="Arial" w:cs="Arial"/>
          <w:sz w:val="18"/>
          <w:szCs w:val="18"/>
        </w:rPr>
      </w:pPr>
      <w:r w:rsidRPr="000D455C">
        <w:rPr>
          <w:rStyle w:val="FootnoteReference"/>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(nepatenkinamai)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netenkina minimalių reikalavimų, yra esminių trūkumų, dėl kurių krypties studijos negali būti vykdomos.</w:t>
      </w:r>
    </w:p>
    <w:p w14:paraId="60C34BDD" w14:textId="77777777" w:rsidR="00BE720C" w:rsidRPr="000D455C" w:rsidRDefault="00BE720C" w:rsidP="00BE720C">
      <w:pPr>
        <w:pStyle w:val="FootnoteText"/>
        <w:jc w:val="both"/>
        <w:rPr>
          <w:rFonts w:ascii="Arial" w:hAnsi="Arial" w:cs="Arial"/>
          <w:sz w:val="18"/>
          <w:szCs w:val="18"/>
          <w:lang w:val="lt-LT"/>
        </w:rPr>
      </w:pPr>
      <w:r w:rsidRPr="000D455C">
        <w:rPr>
          <w:rFonts w:ascii="Arial" w:hAnsi="Arial" w:cs="Arial"/>
          <w:b/>
          <w:bCs/>
          <w:color w:val="5B0009"/>
          <w:sz w:val="18"/>
          <w:szCs w:val="18"/>
          <w:lang w:val="lt-LT"/>
        </w:rPr>
        <w:t>2 (patenkinamai)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tenkina minimalius reikalavimus, yra esminių trūkumų, kuriuos būtina pašalinti.</w:t>
      </w:r>
    </w:p>
    <w:p w14:paraId="3F42553F" w14:textId="77777777" w:rsidR="00BE720C" w:rsidRPr="000D455C" w:rsidRDefault="00BE720C" w:rsidP="00BE720C">
      <w:pPr>
        <w:pStyle w:val="FootnoteText"/>
        <w:jc w:val="both"/>
        <w:rPr>
          <w:rFonts w:ascii="Arial" w:hAnsi="Arial" w:cs="Arial"/>
          <w:sz w:val="18"/>
          <w:szCs w:val="18"/>
          <w:lang w:val="lt-LT"/>
        </w:rPr>
      </w:pPr>
      <w:r w:rsidRPr="000D455C">
        <w:rPr>
          <w:rFonts w:ascii="Arial" w:hAnsi="Arial" w:cs="Arial"/>
          <w:b/>
          <w:bCs/>
          <w:color w:val="5B0009"/>
          <w:sz w:val="18"/>
          <w:szCs w:val="18"/>
          <w:lang w:val="lt-LT"/>
        </w:rPr>
        <w:t>3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plėtojama sistemiškai, be esminių trūkumų.</w:t>
      </w:r>
    </w:p>
    <w:p w14:paraId="6ECD244E" w14:textId="77777777" w:rsidR="00BE720C" w:rsidRPr="000D455C" w:rsidRDefault="00BE720C" w:rsidP="00BE720C">
      <w:pPr>
        <w:pStyle w:val="FootnoteText"/>
        <w:jc w:val="both"/>
        <w:rPr>
          <w:rFonts w:ascii="Arial" w:hAnsi="Arial" w:cs="Arial"/>
          <w:sz w:val="18"/>
          <w:szCs w:val="18"/>
          <w:lang w:val="lt-LT"/>
        </w:rPr>
      </w:pPr>
      <w:r w:rsidRPr="000D455C">
        <w:rPr>
          <w:rFonts w:ascii="Arial" w:hAnsi="Arial" w:cs="Arial"/>
          <w:b/>
          <w:bCs/>
          <w:color w:val="5B0009"/>
          <w:sz w:val="18"/>
          <w:szCs w:val="18"/>
          <w:lang w:val="lt-LT"/>
        </w:rPr>
        <w:t>4 (labai gerai)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labai gerai nacionaliniame kontekste ir tarptautinėje erdvėje, be jokių trūkumų.</w:t>
      </w:r>
    </w:p>
    <w:p w14:paraId="4EF6BD0B" w14:textId="77777777" w:rsidR="00BE720C" w:rsidRPr="00F468FC" w:rsidRDefault="00BE720C" w:rsidP="00BE720C">
      <w:pPr>
        <w:pStyle w:val="FootnoteText"/>
        <w:jc w:val="both"/>
        <w:rPr>
          <w:rFonts w:asciiTheme="minorHAnsi" w:hAnsiTheme="minorHAnsi" w:cstheme="minorHAnsi"/>
          <w:lang w:val="lt-LT"/>
        </w:rPr>
      </w:pPr>
      <w:r w:rsidRPr="000D455C">
        <w:rPr>
          <w:rFonts w:ascii="Arial" w:hAnsi="Arial" w:cs="Arial"/>
          <w:b/>
          <w:bCs/>
          <w:color w:val="5B0009"/>
          <w:sz w:val="18"/>
          <w:szCs w:val="18"/>
          <w:lang w:val="lt-LT"/>
        </w:rPr>
        <w:t>5 (puikiai)</w:t>
      </w:r>
      <w:r w:rsidRPr="000D455C">
        <w:rPr>
          <w:rFonts w:ascii="Arial" w:hAnsi="Arial" w:cs="Arial"/>
          <w:color w:val="5B0009"/>
          <w:sz w:val="18"/>
          <w:szCs w:val="18"/>
          <w:lang w:val="lt-LT"/>
        </w:rPr>
        <w:t xml:space="preserve"> </w:t>
      </w:r>
      <w:r w:rsidRPr="000D455C">
        <w:rPr>
          <w:rFonts w:ascii="Arial" w:hAnsi="Arial" w:cs="Arial"/>
          <w:sz w:val="18"/>
          <w:szCs w:val="18"/>
          <w:lang w:val="lt-LT"/>
        </w:rPr>
        <w:t>- sritis vertinama išskirtinai gerai nacionaliniame kontekste ir tarptautinėje erdvėje.</w:t>
      </w:r>
    </w:p>
    <w:p w14:paraId="6ABF40CF" w14:textId="77777777" w:rsidR="00BE720C" w:rsidRPr="00F468FC" w:rsidRDefault="00BE720C" w:rsidP="00BE720C">
      <w:pPr>
        <w:pStyle w:val="FootnoteText"/>
        <w:jc w:val="both"/>
        <w:rPr>
          <w:rFonts w:asciiTheme="minorHAnsi" w:hAnsiTheme="minorHAnsi" w:cstheme="minorHAnsi"/>
          <w:lang w:val="lt-LT"/>
        </w:rPr>
      </w:pPr>
    </w:p>
    <w:p w14:paraId="67181FA3" w14:textId="77777777" w:rsidR="00291AB7" w:rsidRPr="00F468FC" w:rsidRDefault="00291AB7" w:rsidP="00291AB7">
      <w:pPr>
        <w:pStyle w:val="FootnoteText"/>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6324"/>
    <w:multiLevelType w:val="multilevel"/>
    <w:tmpl w:val="3E189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22D2B"/>
    <w:multiLevelType w:val="multilevel"/>
    <w:tmpl w:val="012442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7F4C32"/>
    <w:multiLevelType w:val="multilevel"/>
    <w:tmpl w:val="B28E8104"/>
    <w:lvl w:ilvl="0">
      <w:start w:val="5"/>
      <w:numFmt w:val="decimal"/>
      <w:lvlText w:val="%1"/>
      <w:lvlJc w:val="left"/>
      <w:pPr>
        <w:ind w:left="862" w:hanging="720"/>
      </w:pPr>
    </w:lvl>
    <w:lvl w:ilvl="1">
      <w:start w:val="2"/>
      <w:numFmt w:val="decimal"/>
      <w:lvlText w:val="%1.%2"/>
      <w:lvlJc w:val="left"/>
      <w:pPr>
        <w:ind w:left="862" w:hanging="720"/>
      </w:pPr>
    </w:lvl>
    <w:lvl w:ilvl="2">
      <w:start w:val="1"/>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4" w15:restartNumberingAfterBreak="0">
    <w:nsid w:val="13AA1C20"/>
    <w:multiLevelType w:val="multilevel"/>
    <w:tmpl w:val="5FDE48B4"/>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5" w15:restartNumberingAfterBreak="0">
    <w:nsid w:val="147C00F0"/>
    <w:multiLevelType w:val="multilevel"/>
    <w:tmpl w:val="58784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DB5165"/>
    <w:multiLevelType w:val="multilevel"/>
    <w:tmpl w:val="A2FE9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683EE0"/>
    <w:multiLevelType w:val="multilevel"/>
    <w:tmpl w:val="AD80AAF6"/>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8" w15:restartNumberingAfterBreak="0">
    <w:nsid w:val="224A3A92"/>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333F0B"/>
    <w:multiLevelType w:val="multilevel"/>
    <w:tmpl w:val="9E1C0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EC7161"/>
    <w:multiLevelType w:val="multilevel"/>
    <w:tmpl w:val="B7748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9D64E0"/>
    <w:multiLevelType w:val="multilevel"/>
    <w:tmpl w:val="7F7663B0"/>
    <w:lvl w:ilvl="0">
      <w:start w:val="6"/>
      <w:numFmt w:val="decimal"/>
      <w:lvlText w:val="%1"/>
      <w:lvlJc w:val="left"/>
      <w:pPr>
        <w:ind w:left="862" w:hanging="720"/>
      </w:pPr>
    </w:lvl>
    <w:lvl w:ilvl="1">
      <w:start w:val="1"/>
      <w:numFmt w:val="decimal"/>
      <w:lvlText w:val="%1.%2"/>
      <w:lvlJc w:val="left"/>
      <w:pPr>
        <w:ind w:left="862" w:hanging="720"/>
      </w:pPr>
    </w:lvl>
    <w:lvl w:ilvl="2">
      <w:start w:val="1"/>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12" w15:restartNumberingAfterBreak="0">
    <w:nsid w:val="32FB788E"/>
    <w:multiLevelType w:val="multilevel"/>
    <w:tmpl w:val="43941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6F6D58"/>
    <w:multiLevelType w:val="multilevel"/>
    <w:tmpl w:val="13F02334"/>
    <w:lvl w:ilvl="0">
      <w:start w:val="2"/>
      <w:numFmt w:val="decimal"/>
      <w:lvlText w:val="%1"/>
      <w:lvlJc w:val="left"/>
      <w:pPr>
        <w:ind w:left="862" w:hanging="720"/>
      </w:pPr>
    </w:lvl>
    <w:lvl w:ilvl="1">
      <w:start w:val="1"/>
      <w:numFmt w:val="decimal"/>
      <w:lvlText w:val="%1.%2"/>
      <w:lvlJc w:val="left"/>
      <w:pPr>
        <w:ind w:left="862" w:hanging="720"/>
      </w:pPr>
    </w:lvl>
    <w:lvl w:ilvl="2">
      <w:start w:val="1"/>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14" w15:restartNumberingAfterBreak="0">
    <w:nsid w:val="3A7D143F"/>
    <w:multiLevelType w:val="multilevel"/>
    <w:tmpl w:val="CD9EC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BFC6CCC"/>
    <w:multiLevelType w:val="multilevel"/>
    <w:tmpl w:val="3A949216"/>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16" w15:restartNumberingAfterBreak="0">
    <w:nsid w:val="43DD4291"/>
    <w:multiLevelType w:val="multilevel"/>
    <w:tmpl w:val="CA9A079A"/>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17" w15:restartNumberingAfterBreak="0">
    <w:nsid w:val="452C6292"/>
    <w:multiLevelType w:val="multilevel"/>
    <w:tmpl w:val="977C16CE"/>
    <w:lvl w:ilvl="0">
      <w:start w:val="4"/>
      <w:numFmt w:val="decimal"/>
      <w:lvlText w:val="%1"/>
      <w:lvlJc w:val="left"/>
      <w:pPr>
        <w:ind w:left="862" w:hanging="720"/>
      </w:pPr>
    </w:lvl>
    <w:lvl w:ilvl="1">
      <w:start w:val="2"/>
      <w:numFmt w:val="decimal"/>
      <w:lvlText w:val="%1.%2"/>
      <w:lvlJc w:val="left"/>
      <w:pPr>
        <w:ind w:left="862" w:hanging="720"/>
      </w:pPr>
    </w:lvl>
    <w:lvl w:ilvl="2">
      <w:start w:val="1"/>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18" w15:restartNumberingAfterBreak="0">
    <w:nsid w:val="499407E8"/>
    <w:multiLevelType w:val="multilevel"/>
    <w:tmpl w:val="1B2CCD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A8E7783"/>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332760"/>
    <w:multiLevelType w:val="multilevel"/>
    <w:tmpl w:val="9482DA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B773B4"/>
    <w:multiLevelType w:val="multilevel"/>
    <w:tmpl w:val="2C3EB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F1A67B3"/>
    <w:multiLevelType w:val="multilevel"/>
    <w:tmpl w:val="F7C0447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4FA000A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14C1C"/>
    <w:multiLevelType w:val="multilevel"/>
    <w:tmpl w:val="0812FC2C"/>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25" w15:restartNumberingAfterBreak="0">
    <w:nsid w:val="53FD6461"/>
    <w:multiLevelType w:val="multilevel"/>
    <w:tmpl w:val="318AD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5E27A18"/>
    <w:multiLevelType w:val="multilevel"/>
    <w:tmpl w:val="773A6D18"/>
    <w:lvl w:ilvl="0">
      <w:start w:val="3"/>
      <w:numFmt w:val="decimal"/>
      <w:lvlText w:val="%1"/>
      <w:lvlJc w:val="left"/>
      <w:pPr>
        <w:ind w:left="862" w:hanging="720"/>
      </w:pPr>
    </w:lvl>
    <w:lvl w:ilvl="1">
      <w:start w:val="2"/>
      <w:numFmt w:val="decimal"/>
      <w:lvlText w:val="%1.%2"/>
      <w:lvlJc w:val="left"/>
      <w:pPr>
        <w:ind w:left="862" w:hanging="720"/>
      </w:pPr>
    </w:lvl>
    <w:lvl w:ilvl="2">
      <w:start w:val="1"/>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27" w15:restartNumberingAfterBreak="0">
    <w:nsid w:val="5E17504B"/>
    <w:multiLevelType w:val="multilevel"/>
    <w:tmpl w:val="296ED7CC"/>
    <w:lvl w:ilvl="0">
      <w:start w:val="1"/>
      <w:numFmt w:val="decimal"/>
      <w:lvlText w:val="%1."/>
      <w:lvlJc w:val="left"/>
      <w:pPr>
        <w:ind w:left="862" w:hanging="395"/>
      </w:pPr>
      <w:rPr>
        <w:rFonts w:ascii="Arial" w:eastAsia="Arial" w:hAnsi="Arial" w:cs="Arial"/>
        <w:b w:val="0"/>
        <w:i w:val="0"/>
        <w:sz w:val="22"/>
        <w:szCs w:val="22"/>
      </w:rPr>
    </w:lvl>
    <w:lvl w:ilvl="1">
      <w:numFmt w:val="bullet"/>
      <w:lvlText w:val="•"/>
      <w:lvlJc w:val="left"/>
      <w:pPr>
        <w:ind w:left="1753" w:hanging="395"/>
      </w:pPr>
    </w:lvl>
    <w:lvl w:ilvl="2">
      <w:numFmt w:val="bullet"/>
      <w:lvlText w:val="•"/>
      <w:lvlJc w:val="left"/>
      <w:pPr>
        <w:ind w:left="2647" w:hanging="395"/>
      </w:pPr>
    </w:lvl>
    <w:lvl w:ilvl="3">
      <w:numFmt w:val="bullet"/>
      <w:lvlText w:val="•"/>
      <w:lvlJc w:val="left"/>
      <w:pPr>
        <w:ind w:left="3540" w:hanging="395"/>
      </w:pPr>
    </w:lvl>
    <w:lvl w:ilvl="4">
      <w:numFmt w:val="bullet"/>
      <w:lvlText w:val="•"/>
      <w:lvlJc w:val="left"/>
      <w:pPr>
        <w:ind w:left="4434" w:hanging="395"/>
      </w:pPr>
    </w:lvl>
    <w:lvl w:ilvl="5">
      <w:numFmt w:val="bullet"/>
      <w:lvlText w:val="•"/>
      <w:lvlJc w:val="left"/>
      <w:pPr>
        <w:ind w:left="5327" w:hanging="395"/>
      </w:pPr>
    </w:lvl>
    <w:lvl w:ilvl="6">
      <w:numFmt w:val="bullet"/>
      <w:lvlText w:val="•"/>
      <w:lvlJc w:val="left"/>
      <w:pPr>
        <w:ind w:left="6221" w:hanging="395"/>
      </w:pPr>
    </w:lvl>
    <w:lvl w:ilvl="7">
      <w:numFmt w:val="bullet"/>
      <w:lvlText w:val="•"/>
      <w:lvlJc w:val="left"/>
      <w:pPr>
        <w:ind w:left="7114" w:hanging="395"/>
      </w:pPr>
    </w:lvl>
    <w:lvl w:ilvl="8">
      <w:numFmt w:val="bullet"/>
      <w:lvlText w:val="•"/>
      <w:lvlJc w:val="left"/>
      <w:pPr>
        <w:ind w:left="8008" w:hanging="395"/>
      </w:pPr>
    </w:lvl>
  </w:abstractNum>
  <w:abstractNum w:abstractNumId="28" w15:restartNumberingAfterBreak="0">
    <w:nsid w:val="5E1818B0"/>
    <w:multiLevelType w:val="multilevel"/>
    <w:tmpl w:val="959E6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E6C1A0A"/>
    <w:multiLevelType w:val="multilevel"/>
    <w:tmpl w:val="5082E47E"/>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0" w15:restartNumberingAfterBreak="0">
    <w:nsid w:val="5FFF76AE"/>
    <w:multiLevelType w:val="multilevel"/>
    <w:tmpl w:val="88A8F978"/>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1" w15:restartNumberingAfterBreak="0">
    <w:nsid w:val="647B0FCB"/>
    <w:multiLevelType w:val="hybridMultilevel"/>
    <w:tmpl w:val="15FA97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3E37C9"/>
    <w:multiLevelType w:val="multilevel"/>
    <w:tmpl w:val="B4D6E3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7242299"/>
    <w:multiLevelType w:val="multilevel"/>
    <w:tmpl w:val="FEEA2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2D4939"/>
    <w:multiLevelType w:val="multilevel"/>
    <w:tmpl w:val="CBD8C006"/>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6" w15:restartNumberingAfterBreak="0">
    <w:nsid w:val="70B102F3"/>
    <w:multiLevelType w:val="multilevel"/>
    <w:tmpl w:val="936C1D82"/>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7" w15:restartNumberingAfterBreak="0">
    <w:nsid w:val="751272E4"/>
    <w:multiLevelType w:val="multilevel"/>
    <w:tmpl w:val="BEF6569C"/>
    <w:lvl w:ilvl="0">
      <w:start w:val="1"/>
      <w:numFmt w:val="decimal"/>
      <w:lvlText w:val="%1."/>
      <w:lvlJc w:val="left"/>
      <w:pPr>
        <w:ind w:left="862" w:hanging="360"/>
      </w:pPr>
      <w:rPr>
        <w:rFonts w:ascii="Arial" w:eastAsia="Arial" w:hAnsi="Arial" w:cs="Arial"/>
        <w:b w:val="0"/>
        <w:i w:val="0"/>
        <w:sz w:val="22"/>
        <w:szCs w:val="22"/>
      </w:rPr>
    </w:lvl>
    <w:lvl w:ilvl="1">
      <w:numFmt w:val="bullet"/>
      <w:lvlText w:val="•"/>
      <w:lvlJc w:val="left"/>
      <w:pPr>
        <w:ind w:left="1753" w:hanging="360"/>
      </w:pPr>
    </w:lvl>
    <w:lvl w:ilvl="2">
      <w:numFmt w:val="bullet"/>
      <w:lvlText w:val="•"/>
      <w:lvlJc w:val="left"/>
      <w:pPr>
        <w:ind w:left="2647" w:hanging="360"/>
      </w:pPr>
    </w:lvl>
    <w:lvl w:ilvl="3">
      <w:numFmt w:val="bullet"/>
      <w:lvlText w:val="•"/>
      <w:lvlJc w:val="left"/>
      <w:pPr>
        <w:ind w:left="3540" w:hanging="360"/>
      </w:p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8" w15:restartNumberingAfterBreak="0">
    <w:nsid w:val="7990516D"/>
    <w:multiLevelType w:val="multilevel"/>
    <w:tmpl w:val="2A08C142"/>
    <w:lvl w:ilvl="0">
      <w:start w:val="2"/>
      <w:numFmt w:val="decimal"/>
      <w:lvlText w:val="%1"/>
      <w:lvlJc w:val="left"/>
      <w:pPr>
        <w:ind w:left="862" w:hanging="720"/>
      </w:pPr>
    </w:lvl>
    <w:lvl w:ilvl="1">
      <w:start w:val="2"/>
      <w:numFmt w:val="decimal"/>
      <w:lvlText w:val="%1.%2"/>
      <w:lvlJc w:val="left"/>
      <w:pPr>
        <w:ind w:left="862" w:hanging="720"/>
      </w:pPr>
    </w:lvl>
    <w:lvl w:ilvl="2">
      <w:start w:val="2"/>
      <w:numFmt w:val="decimal"/>
      <w:lvlText w:val="%1.%2.%3."/>
      <w:lvlJc w:val="left"/>
      <w:pPr>
        <w:ind w:left="862" w:hanging="720"/>
      </w:pPr>
      <w:rPr>
        <w:rFonts w:ascii="Arial" w:eastAsia="Arial" w:hAnsi="Arial" w:cs="Arial"/>
        <w:b w:val="0"/>
        <w:i w:val="0"/>
        <w:color w:val="5B0009"/>
        <w:sz w:val="22"/>
        <w:szCs w:val="22"/>
      </w:rPr>
    </w:lvl>
    <w:lvl w:ilvl="3">
      <w:start w:val="1"/>
      <w:numFmt w:val="decimal"/>
      <w:lvlText w:val="%4."/>
      <w:lvlJc w:val="left"/>
      <w:pPr>
        <w:ind w:left="862" w:hanging="360"/>
      </w:pPr>
      <w:rPr>
        <w:rFonts w:ascii="Arial" w:eastAsia="Arial" w:hAnsi="Arial" w:cs="Arial"/>
        <w:b w:val="0"/>
        <w:i w:val="0"/>
        <w:sz w:val="22"/>
        <w:szCs w:val="22"/>
      </w:rPr>
    </w:lvl>
    <w:lvl w:ilvl="4">
      <w:numFmt w:val="bullet"/>
      <w:lvlText w:val="•"/>
      <w:lvlJc w:val="left"/>
      <w:pPr>
        <w:ind w:left="4434" w:hanging="360"/>
      </w:pPr>
    </w:lvl>
    <w:lvl w:ilvl="5">
      <w:numFmt w:val="bullet"/>
      <w:lvlText w:val="•"/>
      <w:lvlJc w:val="left"/>
      <w:pPr>
        <w:ind w:left="5327" w:hanging="360"/>
      </w:pPr>
    </w:lvl>
    <w:lvl w:ilvl="6">
      <w:numFmt w:val="bullet"/>
      <w:lvlText w:val="•"/>
      <w:lvlJc w:val="left"/>
      <w:pPr>
        <w:ind w:left="6221" w:hanging="360"/>
      </w:pPr>
    </w:lvl>
    <w:lvl w:ilvl="7">
      <w:numFmt w:val="bullet"/>
      <w:lvlText w:val="•"/>
      <w:lvlJc w:val="left"/>
      <w:pPr>
        <w:ind w:left="7114" w:hanging="360"/>
      </w:pPr>
    </w:lvl>
    <w:lvl w:ilvl="8">
      <w:numFmt w:val="bullet"/>
      <w:lvlText w:val="•"/>
      <w:lvlJc w:val="left"/>
      <w:pPr>
        <w:ind w:left="8008" w:hanging="360"/>
      </w:pPr>
    </w:lvl>
  </w:abstractNum>
  <w:abstractNum w:abstractNumId="39" w15:restartNumberingAfterBreak="0">
    <w:nsid w:val="7CC20447"/>
    <w:multiLevelType w:val="multilevel"/>
    <w:tmpl w:val="800259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DB6936"/>
    <w:multiLevelType w:val="multilevel"/>
    <w:tmpl w:val="0568E6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3606F6"/>
    <w:multiLevelType w:val="multilevel"/>
    <w:tmpl w:val="62B4E9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750F44"/>
    <w:multiLevelType w:val="multilevel"/>
    <w:tmpl w:val="B39E3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9776305">
    <w:abstractNumId w:val="34"/>
  </w:num>
  <w:num w:numId="2" w16cid:durableId="807090091">
    <w:abstractNumId w:val="23"/>
  </w:num>
  <w:num w:numId="3" w16cid:durableId="1564560054">
    <w:abstractNumId w:val="19"/>
  </w:num>
  <w:num w:numId="4" w16cid:durableId="1416631741">
    <w:abstractNumId w:val="8"/>
  </w:num>
  <w:num w:numId="5" w16cid:durableId="1136949813">
    <w:abstractNumId w:val="1"/>
  </w:num>
  <w:num w:numId="6" w16cid:durableId="932905213">
    <w:abstractNumId w:val="31"/>
  </w:num>
  <w:num w:numId="7" w16cid:durableId="144395844">
    <w:abstractNumId w:val="38"/>
  </w:num>
  <w:num w:numId="8" w16cid:durableId="1837040443">
    <w:abstractNumId w:val="24"/>
  </w:num>
  <w:num w:numId="9" w16cid:durableId="1904562251">
    <w:abstractNumId w:val="15"/>
  </w:num>
  <w:num w:numId="10" w16cid:durableId="1216626767">
    <w:abstractNumId w:val="13"/>
  </w:num>
  <w:num w:numId="11" w16cid:durableId="1912348772">
    <w:abstractNumId w:val="16"/>
  </w:num>
  <w:num w:numId="12" w16cid:durableId="110438437">
    <w:abstractNumId w:val="4"/>
  </w:num>
  <w:num w:numId="13" w16cid:durableId="289015523">
    <w:abstractNumId w:val="26"/>
  </w:num>
  <w:num w:numId="14" w16cid:durableId="2091999801">
    <w:abstractNumId w:val="29"/>
  </w:num>
  <w:num w:numId="15" w16cid:durableId="1449812971">
    <w:abstractNumId w:val="27"/>
  </w:num>
  <w:num w:numId="16" w16cid:durableId="1517117034">
    <w:abstractNumId w:val="17"/>
  </w:num>
  <w:num w:numId="17" w16cid:durableId="1806199910">
    <w:abstractNumId w:val="7"/>
  </w:num>
  <w:num w:numId="18" w16cid:durableId="1035888116">
    <w:abstractNumId w:val="3"/>
  </w:num>
  <w:num w:numId="19" w16cid:durableId="822357677">
    <w:abstractNumId w:val="35"/>
  </w:num>
  <w:num w:numId="20" w16cid:durableId="389116666">
    <w:abstractNumId w:val="37"/>
  </w:num>
  <w:num w:numId="21" w16cid:durableId="506604250">
    <w:abstractNumId w:val="11"/>
  </w:num>
  <w:num w:numId="22" w16cid:durableId="1461800545">
    <w:abstractNumId w:val="36"/>
  </w:num>
  <w:num w:numId="23" w16cid:durableId="1616787539">
    <w:abstractNumId w:val="30"/>
  </w:num>
  <w:num w:numId="24" w16cid:durableId="1083572748">
    <w:abstractNumId w:val="28"/>
  </w:num>
  <w:num w:numId="25" w16cid:durableId="544098619">
    <w:abstractNumId w:val="41"/>
  </w:num>
  <w:num w:numId="26" w16cid:durableId="612859513">
    <w:abstractNumId w:val="20"/>
  </w:num>
  <w:num w:numId="27" w16cid:durableId="1996297857">
    <w:abstractNumId w:val="39"/>
  </w:num>
  <w:num w:numId="28" w16cid:durableId="705298483">
    <w:abstractNumId w:val="2"/>
  </w:num>
  <w:num w:numId="29" w16cid:durableId="1993365159">
    <w:abstractNumId w:val="18"/>
  </w:num>
  <w:num w:numId="30" w16cid:durableId="891039066">
    <w:abstractNumId w:val="6"/>
  </w:num>
  <w:num w:numId="31" w16cid:durableId="1750541018">
    <w:abstractNumId w:val="42"/>
  </w:num>
  <w:num w:numId="32" w16cid:durableId="1393697948">
    <w:abstractNumId w:val="5"/>
  </w:num>
  <w:num w:numId="33" w16cid:durableId="2097899486">
    <w:abstractNumId w:val="10"/>
  </w:num>
  <w:num w:numId="34" w16cid:durableId="1175000704">
    <w:abstractNumId w:val="40"/>
  </w:num>
  <w:num w:numId="35" w16cid:durableId="1159080403">
    <w:abstractNumId w:val="22"/>
  </w:num>
  <w:num w:numId="36" w16cid:durableId="1889301016">
    <w:abstractNumId w:val="12"/>
  </w:num>
  <w:num w:numId="37" w16cid:durableId="1901935235">
    <w:abstractNumId w:val="14"/>
  </w:num>
  <w:num w:numId="38" w16cid:durableId="730857880">
    <w:abstractNumId w:val="33"/>
  </w:num>
  <w:num w:numId="39" w16cid:durableId="1213225491">
    <w:abstractNumId w:val="21"/>
  </w:num>
  <w:num w:numId="40" w16cid:durableId="1345595430">
    <w:abstractNumId w:val="25"/>
  </w:num>
  <w:num w:numId="41" w16cid:durableId="2084134471">
    <w:abstractNumId w:val="0"/>
  </w:num>
  <w:num w:numId="42" w16cid:durableId="1178271955">
    <w:abstractNumId w:val="32"/>
  </w:num>
  <w:num w:numId="43" w16cid:durableId="1702435488">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147C4"/>
    <w:rsid w:val="00025180"/>
    <w:rsid w:val="00030D7B"/>
    <w:rsid w:val="000550AD"/>
    <w:rsid w:val="00071B3B"/>
    <w:rsid w:val="0008568E"/>
    <w:rsid w:val="000A12D8"/>
    <w:rsid w:val="000B3CEE"/>
    <w:rsid w:val="000D455C"/>
    <w:rsid w:val="000D4EE3"/>
    <w:rsid w:val="000D652B"/>
    <w:rsid w:val="000E2B19"/>
    <w:rsid w:val="000F3C5C"/>
    <w:rsid w:val="00100E50"/>
    <w:rsid w:val="00106E17"/>
    <w:rsid w:val="00113BE2"/>
    <w:rsid w:val="00121083"/>
    <w:rsid w:val="00121DDA"/>
    <w:rsid w:val="00125DBA"/>
    <w:rsid w:val="00132064"/>
    <w:rsid w:val="00134FE9"/>
    <w:rsid w:val="00135BB1"/>
    <w:rsid w:val="001607BA"/>
    <w:rsid w:val="001935B7"/>
    <w:rsid w:val="001B20A9"/>
    <w:rsid w:val="001B500A"/>
    <w:rsid w:val="001D41D8"/>
    <w:rsid w:val="001E2976"/>
    <w:rsid w:val="001F3872"/>
    <w:rsid w:val="001F3C2C"/>
    <w:rsid w:val="001F4A7C"/>
    <w:rsid w:val="002307AC"/>
    <w:rsid w:val="00233A48"/>
    <w:rsid w:val="0025220C"/>
    <w:rsid w:val="00257747"/>
    <w:rsid w:val="00282146"/>
    <w:rsid w:val="00291AB7"/>
    <w:rsid w:val="002932EE"/>
    <w:rsid w:val="002A5085"/>
    <w:rsid w:val="002B5498"/>
    <w:rsid w:val="002B65A0"/>
    <w:rsid w:val="002D0027"/>
    <w:rsid w:val="002E0ADF"/>
    <w:rsid w:val="002E5370"/>
    <w:rsid w:val="002F0FD3"/>
    <w:rsid w:val="002F2879"/>
    <w:rsid w:val="002F4424"/>
    <w:rsid w:val="003002EA"/>
    <w:rsid w:val="003274FD"/>
    <w:rsid w:val="003324E4"/>
    <w:rsid w:val="00333940"/>
    <w:rsid w:val="0034221C"/>
    <w:rsid w:val="00347078"/>
    <w:rsid w:val="003679BE"/>
    <w:rsid w:val="00381174"/>
    <w:rsid w:val="00385F18"/>
    <w:rsid w:val="0039417D"/>
    <w:rsid w:val="003B187D"/>
    <w:rsid w:val="003C2BE5"/>
    <w:rsid w:val="003D3BBB"/>
    <w:rsid w:val="003F1A39"/>
    <w:rsid w:val="00407505"/>
    <w:rsid w:val="0042467A"/>
    <w:rsid w:val="00431E0D"/>
    <w:rsid w:val="0043262A"/>
    <w:rsid w:val="00441E10"/>
    <w:rsid w:val="00442635"/>
    <w:rsid w:val="00443E85"/>
    <w:rsid w:val="004450FF"/>
    <w:rsid w:val="0045111D"/>
    <w:rsid w:val="004675C1"/>
    <w:rsid w:val="004857AE"/>
    <w:rsid w:val="0049327D"/>
    <w:rsid w:val="004933C9"/>
    <w:rsid w:val="004A331D"/>
    <w:rsid w:val="004B1A1A"/>
    <w:rsid w:val="004E12F8"/>
    <w:rsid w:val="004F0C45"/>
    <w:rsid w:val="00507E52"/>
    <w:rsid w:val="005179F9"/>
    <w:rsid w:val="00535C59"/>
    <w:rsid w:val="00537488"/>
    <w:rsid w:val="00550E79"/>
    <w:rsid w:val="005970E0"/>
    <w:rsid w:val="005A5483"/>
    <w:rsid w:val="005A5B7E"/>
    <w:rsid w:val="005A6EE0"/>
    <w:rsid w:val="005B1562"/>
    <w:rsid w:val="005C231C"/>
    <w:rsid w:val="005D0FF7"/>
    <w:rsid w:val="0060015D"/>
    <w:rsid w:val="00626397"/>
    <w:rsid w:val="00646048"/>
    <w:rsid w:val="006501B9"/>
    <w:rsid w:val="00654C95"/>
    <w:rsid w:val="00665FF5"/>
    <w:rsid w:val="006675C3"/>
    <w:rsid w:val="00672F6D"/>
    <w:rsid w:val="00677F9A"/>
    <w:rsid w:val="0069329A"/>
    <w:rsid w:val="006B263A"/>
    <w:rsid w:val="006D1CFD"/>
    <w:rsid w:val="006D59EB"/>
    <w:rsid w:val="006D7941"/>
    <w:rsid w:val="006E5F5A"/>
    <w:rsid w:val="006E6977"/>
    <w:rsid w:val="00701904"/>
    <w:rsid w:val="00707F8A"/>
    <w:rsid w:val="007177C7"/>
    <w:rsid w:val="00726FD0"/>
    <w:rsid w:val="00747FF5"/>
    <w:rsid w:val="00752780"/>
    <w:rsid w:val="007A253F"/>
    <w:rsid w:val="007A4134"/>
    <w:rsid w:val="007A56A7"/>
    <w:rsid w:val="007A5ABE"/>
    <w:rsid w:val="007A6203"/>
    <w:rsid w:val="007B563E"/>
    <w:rsid w:val="007E04D8"/>
    <w:rsid w:val="007F0C45"/>
    <w:rsid w:val="00822851"/>
    <w:rsid w:val="00840DB8"/>
    <w:rsid w:val="0084778A"/>
    <w:rsid w:val="00862DC2"/>
    <w:rsid w:val="00880CC9"/>
    <w:rsid w:val="00882DD0"/>
    <w:rsid w:val="008927AD"/>
    <w:rsid w:val="008D0291"/>
    <w:rsid w:val="008D61B1"/>
    <w:rsid w:val="008E6E56"/>
    <w:rsid w:val="008F64DA"/>
    <w:rsid w:val="0090052E"/>
    <w:rsid w:val="009361AA"/>
    <w:rsid w:val="00940D23"/>
    <w:rsid w:val="00962EF2"/>
    <w:rsid w:val="00970BA5"/>
    <w:rsid w:val="0097182D"/>
    <w:rsid w:val="00981CE6"/>
    <w:rsid w:val="0098392D"/>
    <w:rsid w:val="009A1675"/>
    <w:rsid w:val="009B1A04"/>
    <w:rsid w:val="009C206C"/>
    <w:rsid w:val="009D11FE"/>
    <w:rsid w:val="009D23F6"/>
    <w:rsid w:val="009D6B7E"/>
    <w:rsid w:val="009E209B"/>
    <w:rsid w:val="009E3F5C"/>
    <w:rsid w:val="009F7697"/>
    <w:rsid w:val="00A213D8"/>
    <w:rsid w:val="00A32D18"/>
    <w:rsid w:val="00A35698"/>
    <w:rsid w:val="00A43FD4"/>
    <w:rsid w:val="00A55DA6"/>
    <w:rsid w:val="00A61E4C"/>
    <w:rsid w:val="00A7414D"/>
    <w:rsid w:val="00A76858"/>
    <w:rsid w:val="00A838F5"/>
    <w:rsid w:val="00A85F3D"/>
    <w:rsid w:val="00A929E9"/>
    <w:rsid w:val="00B16C97"/>
    <w:rsid w:val="00B20CC3"/>
    <w:rsid w:val="00B22A87"/>
    <w:rsid w:val="00B23180"/>
    <w:rsid w:val="00B278D5"/>
    <w:rsid w:val="00B4797C"/>
    <w:rsid w:val="00B53B48"/>
    <w:rsid w:val="00B5500D"/>
    <w:rsid w:val="00B6232E"/>
    <w:rsid w:val="00B6659F"/>
    <w:rsid w:val="00B86E3F"/>
    <w:rsid w:val="00BB1255"/>
    <w:rsid w:val="00BC7225"/>
    <w:rsid w:val="00BD530A"/>
    <w:rsid w:val="00BE720C"/>
    <w:rsid w:val="00BE7F1E"/>
    <w:rsid w:val="00BF2561"/>
    <w:rsid w:val="00BF5AE1"/>
    <w:rsid w:val="00BF6CF4"/>
    <w:rsid w:val="00C07867"/>
    <w:rsid w:val="00C218B5"/>
    <w:rsid w:val="00C3407E"/>
    <w:rsid w:val="00C72D32"/>
    <w:rsid w:val="00C7558E"/>
    <w:rsid w:val="00C7668B"/>
    <w:rsid w:val="00C90ECC"/>
    <w:rsid w:val="00C92A67"/>
    <w:rsid w:val="00CA3EA4"/>
    <w:rsid w:val="00CB194C"/>
    <w:rsid w:val="00CF17B4"/>
    <w:rsid w:val="00CF1D8A"/>
    <w:rsid w:val="00D12BE0"/>
    <w:rsid w:val="00D1688F"/>
    <w:rsid w:val="00D32F58"/>
    <w:rsid w:val="00D44EA1"/>
    <w:rsid w:val="00D46004"/>
    <w:rsid w:val="00D8335B"/>
    <w:rsid w:val="00D91383"/>
    <w:rsid w:val="00DB692D"/>
    <w:rsid w:val="00DE3287"/>
    <w:rsid w:val="00E00A69"/>
    <w:rsid w:val="00E035D8"/>
    <w:rsid w:val="00E513AA"/>
    <w:rsid w:val="00E644E2"/>
    <w:rsid w:val="00E83E52"/>
    <w:rsid w:val="00E90C75"/>
    <w:rsid w:val="00E92A0C"/>
    <w:rsid w:val="00EA1A61"/>
    <w:rsid w:val="00EB06E1"/>
    <w:rsid w:val="00EC031C"/>
    <w:rsid w:val="00EC1A38"/>
    <w:rsid w:val="00ED3A8A"/>
    <w:rsid w:val="00EE0DD3"/>
    <w:rsid w:val="00EE3757"/>
    <w:rsid w:val="00EF3B73"/>
    <w:rsid w:val="00EF3BC2"/>
    <w:rsid w:val="00F024F0"/>
    <w:rsid w:val="00F17F4F"/>
    <w:rsid w:val="00F323F3"/>
    <w:rsid w:val="00F4603E"/>
    <w:rsid w:val="00F468FC"/>
    <w:rsid w:val="00F5037C"/>
    <w:rsid w:val="00F521F5"/>
    <w:rsid w:val="00F53D17"/>
    <w:rsid w:val="00F64A37"/>
    <w:rsid w:val="00F66E6A"/>
    <w:rsid w:val="00F80EFD"/>
    <w:rsid w:val="00FC65B2"/>
    <w:rsid w:val="00FD467B"/>
    <w:rsid w:val="00FD4CA6"/>
    <w:rsid w:val="00FF576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qFormat/>
    <w:rsid w:val="0042467A"/>
    <w:pPr>
      <w:keepNext/>
      <w:jc w:val="center"/>
      <w:outlineLvl w:val="1"/>
    </w:pPr>
    <w:rPr>
      <w:rFonts w:eastAsia="Arial Unicode MS"/>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F18"/>
    <w:pPr>
      <w:spacing w:after="0" w:line="240" w:lineRule="auto"/>
    </w:pPr>
    <w:rPr>
      <w:rFonts w:ascii="Times New Roman" w:eastAsia="Calibri" w:hAnsi="Times New Roman" w:cs="Times New Roman"/>
      <w:sz w:val="24"/>
    </w:rPr>
  </w:style>
  <w:style w:type="character" w:customStyle="1" w:styleId="Heading2Char">
    <w:name w:val="Heading 2 Char"/>
    <w:basedOn w:val="DefaultParagraphFont"/>
    <w:link w:val="Heading2"/>
    <w:rsid w:val="0042467A"/>
    <w:rPr>
      <w:rFonts w:ascii="Times New Roman" w:eastAsia="Arial Unicode MS" w:hAnsi="Times New Roman" w:cs="Times New Roman"/>
      <w:b/>
      <w:szCs w:val="24"/>
      <w:lang w:val="en-GB"/>
    </w:rPr>
  </w:style>
  <w:style w:type="paragraph" w:styleId="Header">
    <w:name w:val="header"/>
    <w:aliases w:val="Char"/>
    <w:basedOn w:val="Normal"/>
    <w:link w:val="HeaderChar"/>
    <w:rsid w:val="0042467A"/>
    <w:pPr>
      <w:tabs>
        <w:tab w:val="center" w:pos="4677"/>
        <w:tab w:val="right" w:pos="9355"/>
      </w:tabs>
    </w:pPr>
    <w:rPr>
      <w:lang w:val="en-GB" w:eastAsia="en-US"/>
    </w:rPr>
  </w:style>
  <w:style w:type="character" w:customStyle="1" w:styleId="HeaderChar">
    <w:name w:val="Header Char"/>
    <w:aliases w:val="Char Char"/>
    <w:basedOn w:val="DefaultParagraphFont"/>
    <w:link w:val="Header"/>
    <w:rsid w:val="0042467A"/>
    <w:rPr>
      <w:rFonts w:ascii="Times New Roman" w:eastAsia="Times New Roman" w:hAnsi="Times New Roman" w:cs="Times New Roman"/>
      <w:sz w:val="24"/>
      <w:szCs w:val="24"/>
      <w:lang w:val="en-GB"/>
    </w:rPr>
  </w:style>
  <w:style w:type="character" w:styleId="Hyperlink">
    <w:name w:val="Hyperlink"/>
    <w:uiPriority w:val="99"/>
    <w:rsid w:val="0042467A"/>
    <w:rPr>
      <w:color w:val="0000FF"/>
      <w:u w:val="single"/>
    </w:rPr>
  </w:style>
  <w:style w:type="paragraph" w:styleId="BodyText">
    <w:name w:val="Body Text"/>
    <w:basedOn w:val="Normal"/>
    <w:link w:val="BodyTextChar"/>
    <w:rsid w:val="0042467A"/>
    <w:pPr>
      <w:tabs>
        <w:tab w:val="num" w:pos="0"/>
      </w:tabs>
      <w:jc w:val="both"/>
    </w:pPr>
    <w:rPr>
      <w:lang w:eastAsia="en-US"/>
    </w:rPr>
  </w:style>
  <w:style w:type="character" w:customStyle="1" w:styleId="BodyTextChar">
    <w:name w:val="Body Text Char"/>
    <w:basedOn w:val="DefaultParagraphFont"/>
    <w:link w:val="BodyText"/>
    <w:rsid w:val="0042467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2467A"/>
    <w:rPr>
      <w:sz w:val="20"/>
      <w:szCs w:val="20"/>
      <w:lang w:val="en-GB" w:eastAsia="en-US"/>
    </w:rPr>
  </w:style>
  <w:style w:type="character" w:customStyle="1" w:styleId="FootnoteTextChar">
    <w:name w:val="Footnote Text Char"/>
    <w:basedOn w:val="DefaultParagraphFont"/>
    <w:link w:val="FootnoteText"/>
    <w:uiPriority w:val="99"/>
    <w:semiHidden/>
    <w:rsid w:val="0042467A"/>
    <w:rPr>
      <w:rFonts w:ascii="Times New Roman" w:eastAsia="Times New Roman" w:hAnsi="Times New Roman" w:cs="Times New Roman"/>
      <w:sz w:val="20"/>
      <w:szCs w:val="20"/>
      <w:lang w:val="en-GB"/>
    </w:rPr>
  </w:style>
  <w:style w:type="character" w:styleId="FootnoteReference">
    <w:name w:val="footnote reference"/>
    <w:uiPriority w:val="99"/>
    <w:semiHidden/>
    <w:rsid w:val="0042467A"/>
    <w:rPr>
      <w:vertAlign w:val="superscript"/>
    </w:rPr>
  </w:style>
  <w:style w:type="paragraph" w:styleId="BalloonText">
    <w:name w:val="Balloon Text"/>
    <w:basedOn w:val="Normal"/>
    <w:link w:val="BalloonTextChar"/>
    <w:uiPriority w:val="99"/>
    <w:semiHidden/>
    <w:unhideWhenUsed/>
    <w:rsid w:val="0042467A"/>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42467A"/>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42467A"/>
    <w:pPr>
      <w:spacing w:line="360" w:lineRule="auto"/>
      <w:ind w:left="720"/>
      <w:contextualSpacing/>
      <w:jc w:val="both"/>
    </w:pPr>
    <w:rPr>
      <w:lang w:val="en-GB" w:eastAsia="en-US"/>
    </w:rPr>
  </w:style>
  <w:style w:type="paragraph" w:styleId="BodyText2">
    <w:name w:val="Body Text 2"/>
    <w:basedOn w:val="Normal"/>
    <w:link w:val="BodyText2Char"/>
    <w:rsid w:val="0042467A"/>
    <w:pPr>
      <w:spacing w:after="120" w:line="480" w:lineRule="auto"/>
    </w:pPr>
    <w:rPr>
      <w:lang w:val="en-GB" w:eastAsia="en-US"/>
    </w:rPr>
  </w:style>
  <w:style w:type="character" w:customStyle="1" w:styleId="BodyText2Char">
    <w:name w:val="Body Text 2 Char"/>
    <w:basedOn w:val="DefaultParagraphFont"/>
    <w:link w:val="BodyText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
    <w:name w:val="Heading 1 Char"/>
    <w:basedOn w:val="DefaultParagraphFont"/>
    <w:link w:val="Heading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2307AC"/>
    <w:rPr>
      <w:sz w:val="16"/>
      <w:szCs w:val="16"/>
    </w:rPr>
  </w:style>
  <w:style w:type="paragraph" w:styleId="CommentText">
    <w:name w:val="annotation text"/>
    <w:basedOn w:val="Normal"/>
    <w:link w:val="CommentTextChar"/>
    <w:uiPriority w:val="99"/>
    <w:semiHidden/>
    <w:unhideWhenUsed/>
    <w:rsid w:val="002307AC"/>
    <w:rPr>
      <w:sz w:val="20"/>
      <w:szCs w:val="20"/>
      <w:lang w:val="en-GB" w:eastAsia="en-US"/>
    </w:rPr>
  </w:style>
  <w:style w:type="character" w:customStyle="1" w:styleId="CommentTextChar">
    <w:name w:val="Comment Text Char"/>
    <w:basedOn w:val="DefaultParagraphFont"/>
    <w:link w:val="CommentText"/>
    <w:uiPriority w:val="99"/>
    <w:semiHidden/>
    <w:rsid w:val="002307A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07AC"/>
    <w:rPr>
      <w:b/>
      <w:bCs/>
    </w:rPr>
  </w:style>
  <w:style w:type="character" w:customStyle="1" w:styleId="CommentSubjectChar">
    <w:name w:val="Comment Subject Char"/>
    <w:basedOn w:val="CommentTextChar"/>
    <w:link w:val="CommentSubject"/>
    <w:uiPriority w:val="99"/>
    <w:semiHidden/>
    <w:rsid w:val="002307AC"/>
    <w:rPr>
      <w:rFonts w:ascii="Times New Roman" w:eastAsia="Times New Roman" w:hAnsi="Times New Roman" w:cs="Times New Roman"/>
      <w:b/>
      <w:bCs/>
      <w:sz w:val="20"/>
      <w:szCs w:val="20"/>
      <w:lang w:val="en-GB"/>
    </w:rPr>
  </w:style>
  <w:style w:type="paragraph" w:styleId="Footer">
    <w:name w:val="footer"/>
    <w:basedOn w:val="Normal"/>
    <w:link w:val="FooterChar"/>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01B9"/>
  </w:style>
  <w:style w:type="table" w:styleId="TableGrid">
    <w:name w:val="Table Grid"/>
    <w:basedOn w:val="TableNorma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Revision">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gustas.straukas/Desktop/Isvadu_israsa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Isvadu_israsas.dotx</Template>
  <TotalTime>94</TotalTime>
  <Pages>25</Pages>
  <Words>5115</Words>
  <Characters>34076</Characters>
  <Application>Microsoft Office Word</Application>
  <DocSecurity>0</DocSecurity>
  <Lines>283</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39113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2025-02-13T11:33:00Z</dcterms:created>
  <dc:creator>Gustas Straukas</dc:creator>
  <cp:lastModifiedBy>Aušra Leskauskaitė</cp:lastModifiedBy>
  <cp:lastPrinted>2017-08-18T07:39:00Z</cp:lastPrinted>
  <dcterms:modified xsi:type="dcterms:W3CDTF">2025-05-11T20:23:00Z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